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3CE18" w14:textId="185C7455" w:rsidR="008C21BB" w:rsidRPr="00D115AD" w:rsidRDefault="00DD4DB6" w:rsidP="008C21BB">
      <w:pPr>
        <w:pStyle w:val="Body"/>
      </w:pPr>
      <w:r w:rsidRPr="00D115AD">
        <w:drawing>
          <wp:anchor distT="180340" distB="180340" distL="180340" distR="180340" simplePos="0" relativeHeight="251632128" behindDoc="0" locked="0" layoutInCell="1" allowOverlap="1" wp14:anchorId="14E5944B" wp14:editId="4B3F5CC3">
            <wp:simplePos x="0" y="0"/>
            <wp:positionH relativeFrom="margin">
              <wp:align>right</wp:align>
            </wp:positionH>
            <wp:positionV relativeFrom="paragraph">
              <wp:posOffset>157626</wp:posOffset>
            </wp:positionV>
            <wp:extent cx="2800800" cy="3656529"/>
            <wp:effectExtent l="0" t="0" r="0" b="1270"/>
            <wp:wrapSquare wrapText="bothSides"/>
            <wp:docPr id="446338449" name="Picture 1" descr="A new focus on...British Social History, c.1920–2000 for KS3 History:  Experiences of disability, sexuality, gender and ethnicity: Hodder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new focus on...British Social History, c.1920–2000 for KS3 History:  Experiences of disability, sexuality, gender and ethnicity: Hodder Edu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65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1BB" w:rsidRPr="00D115AD">
        <w:t xml:space="preserve">This booklet is a guide to some of the questions we pose in the textbook and some suggested answers. These come in three forms: </w:t>
      </w:r>
    </w:p>
    <w:p w14:paraId="1006323B" w14:textId="77777777" w:rsidR="008C21BB" w:rsidRPr="00D115AD" w:rsidRDefault="008C21BB" w:rsidP="00D505E3">
      <w:pPr>
        <w:pStyle w:val="Bullet1"/>
      </w:pPr>
      <w:r w:rsidRPr="00D115AD">
        <w:t xml:space="preserve">big and reflect questions that frame chapters and Making History </w:t>
      </w:r>
      <w:proofErr w:type="gramStart"/>
      <w:r w:rsidRPr="00D115AD">
        <w:t>sections</w:t>
      </w:r>
      <w:proofErr w:type="gramEnd"/>
    </w:p>
    <w:p w14:paraId="58C1CE29" w14:textId="77777777" w:rsidR="008C21BB" w:rsidRPr="00D115AD" w:rsidRDefault="008C21BB" w:rsidP="00D505E3">
      <w:pPr>
        <w:pStyle w:val="Bullet1"/>
      </w:pPr>
      <w:r w:rsidRPr="00D115AD">
        <w:t>little questions within chapters</w:t>
      </w:r>
    </w:p>
    <w:p w14:paraId="3A0401F8" w14:textId="5F71508F" w:rsidR="008C21BB" w:rsidRPr="00D115AD" w:rsidRDefault="008C21BB" w:rsidP="00D505E3">
      <w:pPr>
        <w:pStyle w:val="Bullet1"/>
      </w:pPr>
      <w:r w:rsidRPr="00D115AD">
        <w:t>questions that accompany sources.</w:t>
      </w:r>
    </w:p>
    <w:p w14:paraId="299E4346" w14:textId="2622DFE5" w:rsidR="008C21BB" w:rsidRPr="00D115AD" w:rsidRDefault="008C21BB" w:rsidP="008C21BB">
      <w:pPr>
        <w:pStyle w:val="Body"/>
      </w:pPr>
      <w:r w:rsidRPr="00D115AD">
        <w:t>We have not provided answers for every question. The answers that we have provided below are for those questions that require more complex inference and the drawing</w:t>
      </w:r>
      <w:r w:rsidRPr="00D115AD">
        <w:rPr>
          <w:rStyle w:val="BodyChar"/>
        </w:rPr>
        <w:t xml:space="preserve"> of conclusions by synthesising and evaluating the material from the text. We have not provided answers where the</w:t>
      </w:r>
      <w:r w:rsidRPr="00D115AD">
        <w:t xml:space="preserve"> focus of the question is on comprehension and simple inference or where the focus is on generating ideas from your students. </w:t>
      </w:r>
    </w:p>
    <w:p w14:paraId="44118271" w14:textId="749AC804" w:rsidR="00DC40EE" w:rsidRDefault="008C21BB" w:rsidP="008C21BB">
      <w:pPr>
        <w:rPr>
          <w:rFonts w:ascii="Source Sans Pro" w:hAnsi="Source Sans Pro"/>
        </w:rPr>
      </w:pPr>
      <w:r w:rsidRPr="00D115AD">
        <w:rPr>
          <w:rFonts w:ascii="Source Sans Pro" w:hAnsi="Source Sans Pro"/>
        </w:rPr>
        <w:t xml:space="preserve">We have given the features of a typically strong answer. Where topics may be very unfamiliar to most colleagues, we have gone beyond what one would expect students to achieve </w:t>
      </w:r>
      <w:proofErr w:type="gramStart"/>
      <w:r w:rsidRPr="00D115AD">
        <w:rPr>
          <w:rFonts w:ascii="Source Sans Pro" w:hAnsi="Source Sans Pro"/>
        </w:rPr>
        <w:t>in order to</w:t>
      </w:r>
      <w:proofErr w:type="gramEnd"/>
      <w:r w:rsidRPr="00D115AD">
        <w:rPr>
          <w:rFonts w:ascii="Source Sans Pro" w:hAnsi="Source Sans Pro"/>
        </w:rPr>
        <w:t xml:space="preserve"> support teachers to draw out the big thinking. The detailed historical knowledge a student would demonstrate</w:t>
      </w:r>
      <w:r w:rsidRPr="00D115AD">
        <w:rPr>
          <w:rFonts w:ascii="Source Sans Pro" w:hAnsi="Source Sans Pro"/>
        </w:rPr>
        <w:t xml:space="preserve"> </w:t>
      </w:r>
      <w:commentRangeStart w:id="0"/>
      <w:commentRangeEnd w:id="0"/>
      <w:r w:rsidRPr="00D115AD">
        <w:rPr>
          <w:rStyle w:val="CommentReference"/>
          <w:rFonts w:ascii="Source Sans Pro" w:hAnsi="Source Sans Pro"/>
        </w:rPr>
        <w:commentReference w:id="0"/>
      </w:r>
      <w:r w:rsidRPr="00D115AD">
        <w:rPr>
          <w:rFonts w:ascii="Source Sans Pro" w:hAnsi="Source Sans Pro"/>
        </w:rPr>
        <w:t xml:space="preserve">is simply in the text we have provided in each chapter. We have suggested some misconceptions to avoid and have also added some ‘big picture’ knowledge for teachers </w:t>
      </w:r>
      <w:commentRangeStart w:id="1"/>
      <w:r w:rsidRPr="00D115AD">
        <w:rPr>
          <w:rFonts w:ascii="Source Sans Pro" w:hAnsi="Source Sans Pro"/>
        </w:rPr>
        <w:t>via these</w:t>
      </w:r>
      <w:commentRangeEnd w:id="1"/>
      <w:r w:rsidRPr="00D115AD">
        <w:rPr>
          <w:rStyle w:val="CommentReference"/>
          <w:rFonts w:ascii="Source Sans Pro" w:hAnsi="Source Sans Pro"/>
        </w:rPr>
        <w:commentReference w:id="1"/>
      </w:r>
      <w:r w:rsidRPr="00D115AD">
        <w:rPr>
          <w:rFonts w:ascii="Source Sans Pro" w:hAnsi="Source Sans Pro"/>
        </w:rPr>
        <w:t xml:space="preserve"> downloads, where topics may be unfamiliar to most colleagues.</w:t>
      </w:r>
    </w:p>
    <w:p w14:paraId="70F840E7" w14:textId="5117D098" w:rsidR="00DC40EE" w:rsidRDefault="00DC40EE">
      <w:pPr>
        <w:rPr>
          <w:rFonts w:ascii="Source Sans Pro" w:hAnsi="Source Sans Pro"/>
        </w:rPr>
      </w:pPr>
    </w:p>
    <w:tbl>
      <w:tblPr>
        <w:tblW w:w="5000" w:type="pct"/>
        <w:tblBorders>
          <w:top w:val="single" w:sz="8" w:space="0" w:color="0EAE9D"/>
          <w:left w:val="single" w:sz="8" w:space="0" w:color="0EAE9D"/>
          <w:bottom w:val="single" w:sz="8" w:space="0" w:color="0EAE9D"/>
          <w:right w:val="single" w:sz="8" w:space="0" w:color="0EAE9D"/>
          <w:insideH w:val="single" w:sz="8" w:space="0" w:color="0EAE9D"/>
          <w:insideV w:val="single" w:sz="8" w:space="0" w:color="0EAE9D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3F2371" w:rsidRPr="00D115AD" w14:paraId="27BB7584" w14:textId="77777777" w:rsidTr="000F4616">
        <w:trPr>
          <w:trHeight w:val="420"/>
          <w:tblHeader/>
        </w:trPr>
        <w:tc>
          <w:tcPr>
            <w:tcW w:w="5000" w:type="pct"/>
            <w:gridSpan w:val="3"/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FEA2C" w14:textId="77777777" w:rsidR="003F2371" w:rsidRPr="00265013" w:rsidRDefault="003F2371" w:rsidP="00E02C59">
            <w:pPr>
              <w:pStyle w:val="TableHeade"/>
            </w:pPr>
            <w:r w:rsidRPr="00265013">
              <w:t xml:space="preserve">Making History: Why do we need </w:t>
            </w:r>
            <w:r w:rsidRPr="00265013">
              <w:t>many stories</w:t>
            </w:r>
            <w:r w:rsidRPr="00265013">
              <w:t xml:space="preserve"> to make better history?</w:t>
            </w:r>
          </w:p>
          <w:p w14:paraId="7F2774DE" w14:textId="77777777" w:rsidR="003F2371" w:rsidRPr="00D115AD" w:rsidRDefault="003F2371" w:rsidP="00E02C59">
            <w:pPr>
              <w:pStyle w:val="TableSubhead"/>
            </w:pPr>
            <w:r w:rsidRPr="00D115AD">
              <w:t>Pages 8–9</w:t>
            </w:r>
          </w:p>
        </w:tc>
      </w:tr>
      <w:tr w:rsidR="003F2371" w:rsidRPr="00D115AD" w14:paraId="01A7575A" w14:textId="77777777" w:rsidTr="000F4616">
        <w:trPr>
          <w:trHeight w:val="420"/>
          <w:tblHeader/>
        </w:trPr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0F02" w14:textId="77777777" w:rsidR="003F2371" w:rsidRPr="00D115AD" w:rsidRDefault="003F2371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 xml:space="preserve">Big question: </w:t>
            </w:r>
          </w:p>
          <w:p w14:paraId="4FF2CC09" w14:textId="15620CBE" w:rsidR="003F2371" w:rsidRPr="00D115AD" w:rsidRDefault="003F2371" w:rsidP="00EB44CF">
            <w:pPr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Why do we need many stories to make better history? 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4A04" w14:textId="77777777" w:rsidR="003F2371" w:rsidRPr="00D115AD" w:rsidRDefault="003F2371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44463FA3" w14:textId="77777777" w:rsidR="003F2371" w:rsidRPr="00D115AD" w:rsidRDefault="003F2371" w:rsidP="00D505E3">
            <w:pPr>
              <w:pStyle w:val="Bullet1"/>
            </w:pPr>
            <w:r w:rsidRPr="00D115AD">
              <w:t>Explain that more stories reveal the impact of events and changes.</w:t>
            </w:r>
          </w:p>
          <w:p w14:paraId="5604354B" w14:textId="77777777" w:rsidR="003F2371" w:rsidRPr="00D115AD" w:rsidRDefault="003F2371" w:rsidP="00D505E3">
            <w:pPr>
              <w:pStyle w:val="Bullet1"/>
            </w:pPr>
            <w:r w:rsidRPr="00D115AD">
              <w:t>Explain that people are less likely to be left out of the historical narrative.</w:t>
            </w:r>
          </w:p>
          <w:p w14:paraId="7A7D595B" w14:textId="77777777" w:rsidR="003F2371" w:rsidRPr="00D115AD" w:rsidRDefault="003F2371" w:rsidP="00D505E3">
            <w:pPr>
              <w:pStyle w:val="Bullet1"/>
            </w:pPr>
            <w:r w:rsidRPr="00D115AD">
              <w:t xml:space="preserve">Keep history complex and avoid unacceptable generalisations.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F377" w14:textId="77777777" w:rsidR="003F2371" w:rsidRPr="00D115AD" w:rsidRDefault="003F2371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055DFC5E" w14:textId="77777777" w:rsidR="003F2371" w:rsidRPr="00D115AD" w:rsidRDefault="003F2371" w:rsidP="00D505E3">
            <w:pPr>
              <w:pStyle w:val="Bullet1"/>
            </w:pPr>
            <w:r w:rsidRPr="00D115AD">
              <w:t>That we can simply add more stories without also thinking about the questions we ask of the past (about change, consequences, etc.)</w:t>
            </w:r>
          </w:p>
        </w:tc>
      </w:tr>
    </w:tbl>
    <w:p w14:paraId="131F78EB" w14:textId="23C6BAB7" w:rsidR="00EC1F0B" w:rsidRDefault="00EC1F0B">
      <w:pPr>
        <w:rPr>
          <w:rFonts w:ascii="Source Sans Pro" w:eastAsia="Lexend Deca" w:hAnsi="Source Sans Pro" w:cs="Lexend Deca"/>
        </w:rPr>
      </w:pPr>
    </w:p>
    <w:tbl>
      <w:tblPr>
        <w:tblW w:w="5000" w:type="pct"/>
        <w:tblBorders>
          <w:top w:val="single" w:sz="8" w:space="0" w:color="0EAE9D"/>
          <w:left w:val="single" w:sz="8" w:space="0" w:color="0EAE9D"/>
          <w:bottom w:val="single" w:sz="8" w:space="0" w:color="0EAE9D"/>
          <w:right w:val="single" w:sz="8" w:space="0" w:color="0EAE9D"/>
          <w:insideH w:val="single" w:sz="8" w:space="0" w:color="0EAE9D"/>
          <w:insideV w:val="single" w:sz="8" w:space="0" w:color="0EAE9D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0F4616" w:rsidRPr="00D115AD" w14:paraId="3F99AFED" w14:textId="77777777" w:rsidTr="00162378">
        <w:trPr>
          <w:cantSplit/>
          <w:tblHeader/>
        </w:trPr>
        <w:tc>
          <w:tcPr>
            <w:tcW w:w="5000" w:type="pct"/>
            <w:gridSpan w:val="3"/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D289" w14:textId="77777777" w:rsidR="000F4616" w:rsidRPr="00265013" w:rsidRDefault="000F4616" w:rsidP="00EB44CF">
            <w:pPr>
              <w:pStyle w:val="TableHeade"/>
            </w:pPr>
            <w:r w:rsidRPr="00265013">
              <w:t xml:space="preserve">1.1 What was </w:t>
            </w:r>
            <w:proofErr w:type="gramStart"/>
            <w:r w:rsidRPr="00265013">
              <w:t>life like</w:t>
            </w:r>
            <w:proofErr w:type="gramEnd"/>
            <w:r w:rsidRPr="00265013">
              <w:t xml:space="preserve"> for people in Britain in the Roaring Twenties?</w:t>
            </w:r>
          </w:p>
          <w:p w14:paraId="7F74D198" w14:textId="77777777" w:rsidR="000F4616" w:rsidRPr="00265013" w:rsidRDefault="000F4616" w:rsidP="00EB44CF">
            <w:pPr>
              <w:pStyle w:val="TableSubhead"/>
            </w:pPr>
            <w:r w:rsidRPr="00265013">
              <w:t>Pages 10–11</w:t>
            </w:r>
          </w:p>
        </w:tc>
      </w:tr>
      <w:tr w:rsidR="000F4616" w:rsidRPr="00D115AD" w14:paraId="4DC89452" w14:textId="77777777" w:rsidTr="00162378">
        <w:trPr>
          <w:cantSplit/>
        </w:trPr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ECBF" w14:textId="77777777" w:rsidR="000F4616" w:rsidRPr="00A703A6" w:rsidRDefault="000F4616" w:rsidP="00EB44CF">
            <w:pPr>
              <w:pStyle w:val="TableEmphasis"/>
            </w:pPr>
            <w:r w:rsidRPr="00A703A6">
              <w:t>Big question:</w:t>
            </w:r>
          </w:p>
          <w:p w14:paraId="1FCD001B" w14:textId="77777777" w:rsidR="000F4616" w:rsidRPr="00D115AD" w:rsidRDefault="000F4616" w:rsidP="00EB44CF">
            <w:pPr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What was 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life like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for people in Britain in the Roaring Twenties?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BF70" w14:textId="77777777" w:rsidR="000F4616" w:rsidRPr="00D115AD" w:rsidRDefault="000F4616" w:rsidP="00EB44CF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3D81E4EF" w14:textId="77777777" w:rsidR="000F4616" w:rsidRPr="00D115AD" w:rsidRDefault="000F4616" w:rsidP="007717F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Acknowledge that there was a wide range of experiences in the 1920s.</w:t>
            </w:r>
          </w:p>
          <w:p w14:paraId="3B3875F9" w14:textId="77777777" w:rsidR="000F4616" w:rsidRPr="00D115AD" w:rsidRDefault="000F4616" w:rsidP="007717F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Include knowledge that this question varied depending on different factors. For example, where you were in Britain, your economic status, your gender and if you were from a minority group. </w:t>
            </w:r>
          </w:p>
          <w:p w14:paraId="0012A070" w14:textId="77777777" w:rsidR="000F4616" w:rsidRPr="00D115AD" w:rsidRDefault="000F4616" w:rsidP="007717F3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Recognise that the publicity grabbing ‘Bright Young Things’ are what was noticed and support the title ‘Roaring Twenties’.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8708" w14:textId="77777777" w:rsidR="000F4616" w:rsidRPr="00D115AD" w:rsidRDefault="000F4616" w:rsidP="00EB44CF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00C62D68" w14:textId="77777777" w:rsidR="000F4616" w:rsidRPr="00D115AD" w:rsidRDefault="000F4616" w:rsidP="007717F3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That life improved for everyone during the 1920s.</w:t>
            </w:r>
          </w:p>
        </w:tc>
      </w:tr>
      <w:tr w:rsidR="000F4616" w:rsidRPr="00D115AD" w14:paraId="3EF0C758" w14:textId="77777777" w:rsidTr="00162378">
        <w:trPr>
          <w:cantSplit/>
        </w:trPr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E7B5" w14:textId="77777777" w:rsidR="000F4616" w:rsidRPr="00D115AD" w:rsidRDefault="000F4616" w:rsidP="00EB44CF">
            <w:pPr>
              <w:pStyle w:val="TableEmphasis"/>
            </w:pPr>
            <w:r w:rsidRPr="00D115AD">
              <w:lastRenderedPageBreak/>
              <w:t xml:space="preserve">Reflect questions: </w:t>
            </w:r>
          </w:p>
          <w:p w14:paraId="423BC87F" w14:textId="77777777" w:rsidR="000F4616" w:rsidRPr="00D115AD" w:rsidRDefault="000F4616" w:rsidP="00EB44CF">
            <w:pPr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events and changes shaped life in Britain?</w:t>
            </w:r>
          </w:p>
          <w:p w14:paraId="0A877D64" w14:textId="77777777" w:rsidR="000F4616" w:rsidRPr="00D115AD" w:rsidRDefault="000F4616" w:rsidP="00EB44CF">
            <w:pPr>
              <w:rPr>
                <w:rFonts w:ascii="Source Sans Pro" w:eastAsia="Lexend Deca" w:hAnsi="Source Sans Pro" w:cstheme="majorHAnsi"/>
              </w:rPr>
            </w:pPr>
          </w:p>
          <w:p w14:paraId="0AE22339" w14:textId="77777777" w:rsidR="000F4616" w:rsidRPr="00D115AD" w:rsidRDefault="000F4616" w:rsidP="00EB44CF">
            <w:pPr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Would you argue people lived quite similar or very different lives? Why?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F689" w14:textId="77777777" w:rsidR="000F4616" w:rsidRPr="00D115AD" w:rsidRDefault="000F4616" w:rsidP="00EB44CF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Strong answers will:</w:t>
            </w:r>
          </w:p>
          <w:p w14:paraId="35979B6B" w14:textId="77777777" w:rsidR="000F4616" w:rsidRPr="00D115AD" w:rsidRDefault="000F4616" w:rsidP="00EB44CF">
            <w:pPr>
              <w:pStyle w:val="Bullet1"/>
            </w:pPr>
            <w:r w:rsidRPr="00D115AD">
              <w:t xml:space="preserve">Recognise that political power is beginning to change. Women over 21 had the vote after 1928 and the first Labour government was elected in 1924 representing working-class people. This was creating opportunities for some. </w:t>
            </w:r>
          </w:p>
          <w:p w14:paraId="143233D0" w14:textId="77777777" w:rsidR="000F4616" w:rsidRPr="00D115AD" w:rsidRDefault="000F4616" w:rsidP="00EB44CF">
            <w:pPr>
              <w:pStyle w:val="Bullet1"/>
            </w:pPr>
            <w:r w:rsidRPr="00D115AD">
              <w:t xml:space="preserve">Explain that the end of the war created hardship and tension over access to jobs and housing. </w:t>
            </w:r>
          </w:p>
          <w:p w14:paraId="64FA612A" w14:textId="77777777" w:rsidR="000F4616" w:rsidRPr="00D115AD" w:rsidRDefault="000F4616" w:rsidP="00EB44CF">
            <w:pPr>
              <w:pStyle w:val="Bullet1"/>
            </w:pPr>
            <w:r w:rsidRPr="00D115AD">
              <w:t>Explain that popular culture was changing with new fashions and music. This was enjoyed more by the rich than the poor.</w:t>
            </w:r>
          </w:p>
          <w:p w14:paraId="746E87B5" w14:textId="77777777" w:rsidR="000F4616" w:rsidRPr="00D115AD" w:rsidRDefault="000F4616" w:rsidP="00EB44CF">
            <w:pPr>
              <w:pStyle w:val="Bullet1"/>
            </w:pPr>
            <w:r w:rsidRPr="00D115AD">
              <w:t xml:space="preserve">Suggest that the huge general strike in 1926 meant people wanted change and were not seeing it. </w:t>
            </w:r>
          </w:p>
          <w:p w14:paraId="4F5929D5" w14:textId="77777777" w:rsidR="000F4616" w:rsidRPr="00D115AD" w:rsidRDefault="000F4616" w:rsidP="00EB44CF">
            <w:pPr>
              <w:pStyle w:val="Bullet1"/>
            </w:pPr>
            <w:r w:rsidRPr="00D115AD">
              <w:t>Acknowledge that people led quite different lives shaped by factors such as wealth, location, ethnicity, gender.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AC9E" w14:textId="77777777" w:rsidR="000F4616" w:rsidRPr="00D115AD" w:rsidRDefault="000F4616" w:rsidP="00EB44CF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5738F3E0" w14:textId="77777777" w:rsidR="000F4616" w:rsidRPr="00D115AD" w:rsidRDefault="000F4616" w:rsidP="00EB44CF">
            <w:pPr>
              <w:pStyle w:val="Bullet1"/>
            </w:pPr>
            <w:r w:rsidRPr="00D115AD">
              <w:t xml:space="preserve">That it is easy to generalise about the 1920s in Britain. </w:t>
            </w:r>
          </w:p>
        </w:tc>
      </w:tr>
    </w:tbl>
    <w:p w14:paraId="668C1301" w14:textId="77777777" w:rsidR="000F4616" w:rsidRDefault="000F4616">
      <w:pPr>
        <w:rPr>
          <w:rFonts w:ascii="Source Sans Pro" w:eastAsia="Lexend Deca" w:hAnsi="Source Sans Pro" w:cs="Lexend Deca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6C376F" w:rsidRPr="00D115AD" w14:paraId="494FE362" w14:textId="77777777" w:rsidTr="0014130F">
        <w:trPr>
          <w:cantSplit/>
          <w:trHeight w:val="400"/>
          <w:tblHeader/>
        </w:trPr>
        <w:tc>
          <w:tcPr>
            <w:tcW w:w="5000" w:type="pct"/>
            <w:gridSpan w:val="3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860C" w14:textId="77777777" w:rsidR="006C376F" w:rsidRPr="00E02C59" w:rsidRDefault="006C376F" w:rsidP="00EC1F0B">
            <w:pPr>
              <w:pStyle w:val="TableHeade"/>
            </w:pPr>
            <w:r w:rsidRPr="00E02C59">
              <w:rPr>
                <w:rFonts w:ascii="Source Sans Pro Black" w:hAnsi="Source Sans Pro Black"/>
              </w:rPr>
              <w:t>1.2</w:t>
            </w:r>
            <w:r w:rsidRPr="00E02C59">
              <w:t xml:space="preserve"> How was disability </w:t>
            </w:r>
            <w:r w:rsidRPr="00EC1F0B">
              <w:rPr>
                <w:sz w:val="28"/>
                <w:szCs w:val="28"/>
              </w:rPr>
              <w:t xml:space="preserve">experienced in </w:t>
            </w:r>
            <w:r w:rsidRPr="00EC1F0B">
              <w:rPr>
                <w:sz w:val="28"/>
                <w:szCs w:val="28"/>
              </w:rPr>
              <w:t>Britain, 1919–30?</w:t>
            </w:r>
          </w:p>
          <w:p w14:paraId="03254EE2" w14:textId="77777777" w:rsidR="006C376F" w:rsidRPr="00E02C59" w:rsidRDefault="006C376F" w:rsidP="00EC1F0B">
            <w:pPr>
              <w:pStyle w:val="TableSubhead"/>
            </w:pPr>
            <w:r w:rsidRPr="00E02C59">
              <w:t>Pages 12–19</w:t>
            </w:r>
          </w:p>
        </w:tc>
      </w:tr>
      <w:tr w:rsidR="006C376F" w:rsidRPr="00D115AD" w14:paraId="04D23376" w14:textId="77777777" w:rsidTr="0014130F">
        <w:trPr>
          <w:cantSplit/>
        </w:trPr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F1AF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Big question:</w:t>
            </w:r>
          </w:p>
          <w:p w14:paraId="6F8E9133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would you describe the experience of being disabled in Britain in the 1920s?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4E6F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087ECA60" w14:textId="77777777" w:rsidR="006C376F" w:rsidRPr="00D115AD" w:rsidRDefault="006C376F" w:rsidP="00EC1F0B">
            <w:pPr>
              <w:pStyle w:val="Bullet1"/>
            </w:pPr>
            <w:r w:rsidRPr="00D115AD">
              <w:t xml:space="preserve">Recognise that this is a big </w:t>
            </w:r>
            <w:proofErr w:type="gramStart"/>
            <w:r w:rsidRPr="00D115AD">
              <w:t>question</w:t>
            </w:r>
            <w:proofErr w:type="gramEnd"/>
            <w:r w:rsidRPr="00D115AD">
              <w:t xml:space="preserve"> and that ‘disability’ is a term that covers many people and ways of being. </w:t>
            </w:r>
          </w:p>
          <w:p w14:paraId="03267462" w14:textId="77777777" w:rsidR="006C376F" w:rsidRPr="00D115AD" w:rsidRDefault="006C376F" w:rsidP="00EC1F0B">
            <w:pPr>
              <w:pStyle w:val="Bullet1"/>
            </w:pPr>
            <w:r w:rsidRPr="00D115AD">
              <w:t xml:space="preserve">Explain that experience depended on various factors, including the nature of disability, if a person was a war veteran and a person’s age and gender. </w:t>
            </w:r>
          </w:p>
          <w:p w14:paraId="754B8D38" w14:textId="77777777" w:rsidR="006C376F" w:rsidRPr="00D115AD" w:rsidRDefault="006C376F" w:rsidP="00EC1F0B">
            <w:pPr>
              <w:pStyle w:val="Bullet1"/>
            </w:pPr>
            <w:r w:rsidRPr="00D115AD">
              <w:t xml:space="preserve">Recognise that the society and culture of the 1920s was different from that of today and </w:t>
            </w:r>
            <w:proofErr w:type="gramStart"/>
            <w:r w:rsidRPr="00D115AD">
              <w:t>this shaped experiences of disability</w:t>
            </w:r>
            <w:proofErr w:type="gramEnd"/>
            <w:r w:rsidRPr="00D115AD">
              <w:t xml:space="preserve">. </w:t>
            </w:r>
          </w:p>
          <w:p w14:paraId="6E759155" w14:textId="77777777" w:rsidR="006C376F" w:rsidRPr="00D115AD" w:rsidRDefault="006C376F" w:rsidP="00EC1F0B">
            <w:pPr>
              <w:pStyle w:val="Bullet1"/>
            </w:pPr>
            <w:r w:rsidRPr="00D115AD">
              <w:t xml:space="preserve">Identify that there was a great deal of debate about how best to care for disabled people. </w:t>
            </w:r>
          </w:p>
          <w:p w14:paraId="2F5561B1" w14:textId="77777777" w:rsidR="006C376F" w:rsidRPr="00D115AD" w:rsidRDefault="006C376F" w:rsidP="00EC1F0B">
            <w:pPr>
              <w:pStyle w:val="Bullet1"/>
            </w:pPr>
            <w:r w:rsidRPr="00D115AD">
              <w:t>Recognise that the language used at the time to describe disability is not language we would use today.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87DB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5F15E47A" w14:textId="77777777" w:rsidR="006C376F" w:rsidRPr="00D115AD" w:rsidRDefault="006C376F" w:rsidP="00EC1F0B">
            <w:pPr>
              <w:pStyle w:val="Bullet1"/>
            </w:pPr>
            <w:r w:rsidRPr="00D115AD">
              <w:t>There was no debate about how best to support disabled people.</w:t>
            </w:r>
          </w:p>
          <w:p w14:paraId="65EB0957" w14:textId="77777777" w:rsidR="006C376F" w:rsidRPr="00D115AD" w:rsidRDefault="006C376F" w:rsidP="00EC1F0B">
            <w:pPr>
              <w:pStyle w:val="Bullet1"/>
            </w:pPr>
            <w:r w:rsidRPr="00D115AD">
              <w:t xml:space="preserve">That there are simple answers to this question. </w:t>
            </w:r>
          </w:p>
        </w:tc>
      </w:tr>
      <w:tr w:rsidR="006C376F" w:rsidRPr="00D115AD" w14:paraId="250706FE" w14:textId="77777777" w:rsidTr="0014130F">
        <w:trPr>
          <w:cantSplit/>
        </w:trPr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FC14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Source questions:</w:t>
            </w:r>
            <w:r w:rsidRPr="00D115AD">
              <w:rPr>
                <w:rFonts w:ascii="Source Sans Pro" w:hAnsi="Source Sans Pro"/>
              </w:rPr>
              <w:t xml:space="preserve"> </w:t>
            </w:r>
          </w:p>
          <w:p w14:paraId="002F4650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does the advert suggest about what it was like to work making poppies?</w:t>
            </w:r>
          </w:p>
          <w:p w14:paraId="30A923A2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</w:p>
          <w:p w14:paraId="63C8DD03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do you think this work will have helped disabled ex-servicemen?</w:t>
            </w:r>
          </w:p>
          <w:p w14:paraId="2BD3982E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13) 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D940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Strong answers will:</w:t>
            </w:r>
          </w:p>
          <w:p w14:paraId="63786376" w14:textId="77777777" w:rsidR="006C376F" w:rsidRPr="00D115AD" w:rsidRDefault="006C376F" w:rsidP="00EC1F0B">
            <w:pPr>
              <w:pStyle w:val="Bullet1"/>
            </w:pPr>
            <w:r w:rsidRPr="00D115AD">
              <w:t xml:space="preserve">Focus on the purposeful nature of the work and the sociability of working together outside of the home. </w:t>
            </w:r>
          </w:p>
          <w:p w14:paraId="1C8C7F69" w14:textId="77777777" w:rsidR="006C376F" w:rsidRPr="00D115AD" w:rsidRDefault="006C376F" w:rsidP="00EC1F0B">
            <w:pPr>
              <w:pStyle w:val="Bullet1"/>
            </w:pPr>
            <w:r w:rsidRPr="00D115AD">
              <w:t>Suggest that men working had dignity, could feel connected to lost comrades, had a sense of worth and that it supported mental health.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94F1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125ECB6D" w14:textId="77777777" w:rsidR="006C376F" w:rsidRPr="00D115AD" w:rsidRDefault="006C376F" w:rsidP="00EC1F0B">
            <w:pPr>
              <w:pStyle w:val="Bullet1"/>
            </w:pPr>
            <w:r w:rsidRPr="00D115AD">
              <w:t xml:space="preserve">That all disabled men had the opportunity for employment like </w:t>
            </w:r>
            <w:proofErr w:type="gramStart"/>
            <w:r w:rsidRPr="00D115AD">
              <w:t>this, or</w:t>
            </w:r>
            <w:proofErr w:type="gramEnd"/>
            <w:r w:rsidRPr="00D115AD">
              <w:t xml:space="preserve"> were physically able to take it up. </w:t>
            </w:r>
          </w:p>
          <w:p w14:paraId="59AEE153" w14:textId="77777777" w:rsidR="006C376F" w:rsidRPr="00D115AD" w:rsidRDefault="006C376F" w:rsidP="00EC1F0B">
            <w:pPr>
              <w:pStyle w:val="Bullet1"/>
            </w:pPr>
            <w:r w:rsidRPr="00D115AD">
              <w:t xml:space="preserve">That work solved all the problems faced by disabled war veterans. </w:t>
            </w:r>
          </w:p>
        </w:tc>
      </w:tr>
      <w:tr w:rsidR="006C376F" w:rsidRPr="00D115AD" w14:paraId="5935D0D3" w14:textId="77777777" w:rsidTr="0014130F">
        <w:trPr>
          <w:cantSplit/>
        </w:trPr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0FF3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  <w:r w:rsidRPr="00D115AD">
              <w:rPr>
                <w:rFonts w:ascii="Source Sans Pro" w:hAnsi="Source Sans Pro"/>
              </w:rPr>
              <w:t xml:space="preserve"> </w:t>
            </w:r>
          </w:p>
          <w:p w14:paraId="4604904E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Who provided help for war disabled people?</w:t>
            </w:r>
          </w:p>
          <w:p w14:paraId="684DC6F5" w14:textId="002890A5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14)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9A6C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65EEC68C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</w:rPr>
              <w:t xml:space="preserve">Consider </w:t>
            </w:r>
            <w:r w:rsidRPr="00D115AD">
              <w:rPr>
                <w:rFonts w:ascii="Source Sans Pro" w:hAnsi="Source Sans Pro"/>
                <w:b/>
              </w:rPr>
              <w:t>who</w:t>
            </w:r>
            <w:r w:rsidRPr="00D115AD">
              <w:rPr>
                <w:rFonts w:ascii="Source Sans Pro" w:hAnsi="Source Sans Pro"/>
              </w:rPr>
              <w:t xml:space="preserve"> was providing support – government or charities?</w:t>
            </w:r>
          </w:p>
          <w:p w14:paraId="1443D43C" w14:textId="77777777" w:rsidR="006C376F" w:rsidRPr="00D115AD" w:rsidRDefault="006C376F" w:rsidP="00EC1F0B">
            <w:pPr>
              <w:pStyle w:val="Bullet1"/>
            </w:pPr>
            <w:r w:rsidRPr="00D115AD">
              <w:t>Recognise the important role of charities such as the Star and Garter Home and the British Legion in providing support.</w:t>
            </w:r>
          </w:p>
          <w:p w14:paraId="0931C071" w14:textId="77777777" w:rsidR="006C376F" w:rsidRPr="00D115AD" w:rsidRDefault="006C376F" w:rsidP="00EC1F0B">
            <w:pPr>
              <w:pStyle w:val="Bullet1"/>
            </w:pPr>
            <w:r w:rsidRPr="00D115AD">
              <w:t xml:space="preserve">Recognise the important role many women had in running charities, </w:t>
            </w:r>
            <w:proofErr w:type="gramStart"/>
            <w:r w:rsidRPr="00D115AD">
              <w:t>fundraising</w:t>
            </w:r>
            <w:proofErr w:type="gramEnd"/>
            <w:r w:rsidRPr="00D115AD">
              <w:t xml:space="preserve"> and covering gaps in government support for injured servicemen.</w:t>
            </w:r>
          </w:p>
          <w:p w14:paraId="54B05CD5" w14:textId="77777777" w:rsidR="006C376F" w:rsidRPr="00D115AD" w:rsidRDefault="006C376F" w:rsidP="00EC1F0B">
            <w:pPr>
              <w:pStyle w:val="Bullet1"/>
            </w:pPr>
            <w:r w:rsidRPr="00D115AD">
              <w:t xml:space="preserve">Recognise that women who had been injured </w:t>
            </w:r>
            <w:proofErr w:type="gramStart"/>
            <w:r w:rsidRPr="00D115AD">
              <w:t>as a result of</w:t>
            </w:r>
            <w:proofErr w:type="gramEnd"/>
            <w:r w:rsidRPr="00D115AD">
              <w:t xml:space="preserve"> the war, in bombing on the home front or as a nurse, were given no government support and had to rely on family.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308C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75E1242D" w14:textId="77777777" w:rsidR="006C376F" w:rsidRPr="00D115AD" w:rsidRDefault="006C376F" w:rsidP="00EC1F0B">
            <w:pPr>
              <w:pStyle w:val="Bullet1"/>
            </w:pPr>
            <w:r w:rsidRPr="00D115AD">
              <w:t>That only the government and men provided help to the war disabled.</w:t>
            </w:r>
          </w:p>
        </w:tc>
      </w:tr>
      <w:tr w:rsidR="006C376F" w:rsidRPr="00D115AD" w14:paraId="411DE648" w14:textId="77777777" w:rsidTr="0014130F">
        <w:trPr>
          <w:cantSplit/>
        </w:trPr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1FE0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 xml:space="preserve">Little question: </w:t>
            </w:r>
          </w:p>
          <w:p w14:paraId="0D687319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In what ways did the war continue to affect people in Britain in the 1920s?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15)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4BB0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54A8A0D3" w14:textId="77777777" w:rsidR="006C376F" w:rsidRPr="00D115AD" w:rsidRDefault="006C376F" w:rsidP="00EC1F0B">
            <w:pPr>
              <w:pStyle w:val="Bullet1"/>
            </w:pPr>
            <w:r w:rsidRPr="00D115AD">
              <w:t xml:space="preserve">Explain that although there was an attempt by the government to re-train the war disabled to do new </w:t>
            </w:r>
            <w:proofErr w:type="gramStart"/>
            <w:r w:rsidRPr="00D115AD">
              <w:t>jobs</w:t>
            </w:r>
            <w:proofErr w:type="gramEnd"/>
            <w:r w:rsidRPr="00D115AD">
              <w:t xml:space="preserve"> they still struggled to find work. This impacted families and the sense of worth of these men in a society where men were expected to be the breadwinners. </w:t>
            </w:r>
          </w:p>
          <w:p w14:paraId="642EA6E0" w14:textId="77777777" w:rsidR="006C376F" w:rsidRPr="00D115AD" w:rsidRDefault="006C376F" w:rsidP="00EC1F0B">
            <w:pPr>
              <w:pStyle w:val="Bullet1"/>
            </w:pPr>
            <w:r w:rsidRPr="00D115AD">
              <w:t>Understand that many millions of people and their families were permanently affected by injuries sustained during the war.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D29D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55D0B8CF" w14:textId="77777777" w:rsidR="006C376F" w:rsidRPr="00D115AD" w:rsidRDefault="006C376F" w:rsidP="00EC1F0B">
            <w:pPr>
              <w:pStyle w:val="Bullet1"/>
            </w:pPr>
            <w:r w:rsidRPr="00D115AD">
              <w:t xml:space="preserve">That all war wounded were able to find work </w:t>
            </w:r>
            <w:proofErr w:type="gramStart"/>
            <w:r w:rsidRPr="00D115AD">
              <w:t>as a result of</w:t>
            </w:r>
            <w:proofErr w:type="gramEnd"/>
            <w:r w:rsidRPr="00D115AD">
              <w:t xml:space="preserve"> the King’s National Roll Scheme.</w:t>
            </w:r>
          </w:p>
          <w:p w14:paraId="434ECD11" w14:textId="77777777" w:rsidR="006C376F" w:rsidRPr="00D115AD" w:rsidRDefault="006C376F" w:rsidP="00EC1F0B">
            <w:pPr>
              <w:pStyle w:val="Bullet1"/>
            </w:pPr>
            <w:r w:rsidRPr="00D115AD">
              <w:t xml:space="preserve">That the impact of the First World War on individuals ended soon after the fighting stopped. </w:t>
            </w:r>
          </w:p>
        </w:tc>
      </w:tr>
      <w:tr w:rsidR="006C376F" w:rsidRPr="00D115AD" w14:paraId="3AC2C7A8" w14:textId="77777777" w:rsidTr="0014130F">
        <w:trPr>
          <w:cantSplit/>
        </w:trPr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195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questions:</w:t>
            </w:r>
          </w:p>
          <w:p w14:paraId="4498BA69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support was provided for disabled people?</w:t>
            </w:r>
          </w:p>
          <w:p w14:paraId="32341A59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</w:p>
          <w:p w14:paraId="13E397C2" w14:textId="77777777" w:rsidR="006C376F" w:rsidRPr="00D115AD" w:rsidRDefault="006C376F" w:rsidP="00EC1F0B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Who provided this support?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17)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B5A3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Strong answers will:</w:t>
            </w:r>
          </w:p>
          <w:p w14:paraId="7CE1DE9D" w14:textId="77777777" w:rsidR="006C376F" w:rsidRPr="00D115AD" w:rsidRDefault="006C376F" w:rsidP="00EC1F0B">
            <w:pPr>
              <w:pStyle w:val="Bullet1"/>
            </w:pPr>
            <w:r w:rsidRPr="00D115AD">
              <w:t xml:space="preserve">Recognise that, just as today, many people were born with disability or suffered a disability </w:t>
            </w:r>
            <w:proofErr w:type="gramStart"/>
            <w:r w:rsidRPr="00D115AD">
              <w:t>as a result of</w:t>
            </w:r>
            <w:proofErr w:type="gramEnd"/>
            <w:r w:rsidRPr="00D115AD">
              <w:t xml:space="preserve"> an injury or illness. </w:t>
            </w:r>
          </w:p>
          <w:p w14:paraId="00263A47" w14:textId="77777777" w:rsidR="006C376F" w:rsidRPr="00D115AD" w:rsidRDefault="006C376F" w:rsidP="00EC1F0B">
            <w:pPr>
              <w:pStyle w:val="Bullet1"/>
            </w:pPr>
            <w:r w:rsidRPr="00D115AD">
              <w:t xml:space="preserve">Understand that while the 1918 law stated disabled children had to be educated, it did not provide funding or direction for practical change – disabled people were still regarded as different and required to fit into society if they could. </w:t>
            </w:r>
          </w:p>
          <w:p w14:paraId="55967867" w14:textId="77777777" w:rsidR="006C376F" w:rsidRPr="00D115AD" w:rsidRDefault="006C376F" w:rsidP="00EC1F0B">
            <w:pPr>
              <w:pStyle w:val="Bullet1"/>
            </w:pPr>
            <w:r w:rsidRPr="00D115AD">
              <w:t xml:space="preserve">Recognise that many people had to rely on charities and family support. </w:t>
            </w:r>
          </w:p>
          <w:p w14:paraId="0895F39F" w14:textId="77777777" w:rsidR="006C376F" w:rsidRPr="00D115AD" w:rsidRDefault="006C376F" w:rsidP="00EC1F0B">
            <w:pPr>
              <w:pStyle w:val="Bullet1"/>
            </w:pPr>
            <w:r w:rsidRPr="00D115AD">
              <w:t xml:space="preserve">Recognise that the government did not provide the same support for disabled people as it did the war disabled. </w:t>
            </w:r>
          </w:p>
          <w:p w14:paraId="7BAFC159" w14:textId="77777777" w:rsidR="006C376F" w:rsidRPr="00D115AD" w:rsidRDefault="006C376F" w:rsidP="00EC1F0B">
            <w:pPr>
              <w:pStyle w:val="Bullet1"/>
            </w:pPr>
            <w:r w:rsidRPr="00D115AD">
              <w:t>Recognise that the experiences of treating so many war disabled did bring general improvements, such as developing better artificial limbs.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6214" w14:textId="77777777" w:rsidR="006C376F" w:rsidRPr="00D115AD" w:rsidRDefault="006C376F" w:rsidP="00EC1F0B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37545EBA" w14:textId="77777777" w:rsidR="006C376F" w:rsidRPr="00D115AD" w:rsidRDefault="006C376F" w:rsidP="00EC1F0B">
            <w:pPr>
              <w:pStyle w:val="Bullet1"/>
            </w:pPr>
            <w:r w:rsidRPr="00D115AD">
              <w:t xml:space="preserve">That the ideas of the time were simply cruel and uncaring. </w:t>
            </w:r>
            <w:r w:rsidRPr="003159C4">
              <w:rPr>
                <w:rStyle w:val="Bullet1Char"/>
              </w:rPr>
              <w:t>We might disagree now, bu</w:t>
            </w:r>
            <w:r w:rsidRPr="00D115AD">
              <w:t xml:space="preserve">t the care ideas and provision were products of the culture and society of their time. </w:t>
            </w:r>
          </w:p>
        </w:tc>
      </w:tr>
    </w:tbl>
    <w:p w14:paraId="479E5332" w14:textId="47AD826B" w:rsidR="006C376F" w:rsidRPr="00D115AD" w:rsidRDefault="006C376F">
      <w:pPr>
        <w:rPr>
          <w:rFonts w:ascii="Source Sans Pro" w:eastAsia="Lexend Deca" w:hAnsi="Source Sans Pro" w:cs="Lexend Dec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6C376F" w:rsidRPr="00D115AD" w14:paraId="28443BBB" w14:textId="77777777" w:rsidTr="00162378">
        <w:trPr>
          <w:trHeight w:val="400"/>
          <w:tblHeader/>
        </w:trPr>
        <w:tc>
          <w:tcPr>
            <w:tcW w:w="5000" w:type="pct"/>
            <w:gridSpan w:val="3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0684" w14:textId="77777777" w:rsidR="006C376F" w:rsidRPr="00D115AD" w:rsidRDefault="006C376F" w:rsidP="00E02C59">
            <w:pPr>
              <w:pStyle w:val="TableHeade"/>
            </w:pPr>
            <w:r w:rsidRPr="00D115AD">
              <w:t xml:space="preserve">1.3 What opportunities did women in Britain take in the 1920s? </w:t>
            </w:r>
          </w:p>
          <w:p w14:paraId="198BEE5E" w14:textId="77777777" w:rsidR="006C376F" w:rsidRPr="00265013" w:rsidRDefault="006C376F" w:rsidP="00E02C59">
            <w:pPr>
              <w:pStyle w:val="TableSubhead"/>
            </w:pPr>
            <w:r w:rsidRPr="00265013">
              <w:t>Pages 21–25</w:t>
            </w:r>
          </w:p>
        </w:tc>
      </w:tr>
      <w:tr w:rsidR="006C376F" w:rsidRPr="00D115AD" w14:paraId="44F63859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3585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Big question:</w:t>
            </w:r>
          </w:p>
          <w:p w14:paraId="08761F30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opportunities did women in Britain take in the 1920s?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2F2F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60F9E122" w14:textId="77777777" w:rsidR="006C376F" w:rsidRPr="00D115AD" w:rsidRDefault="006C376F" w:rsidP="00D505E3">
            <w:pPr>
              <w:pStyle w:val="Bullet1"/>
            </w:pPr>
            <w:r w:rsidRPr="00D115AD">
              <w:t xml:space="preserve">Categorise the opportunities as political, social, economic, etc. </w:t>
            </w:r>
          </w:p>
          <w:p w14:paraId="6D3EC4FE" w14:textId="77777777" w:rsidR="006C376F" w:rsidRPr="00D115AD" w:rsidRDefault="006C376F" w:rsidP="00D505E3">
            <w:pPr>
              <w:pStyle w:val="Bullet1"/>
            </w:pPr>
            <w:r w:rsidRPr="00D115AD">
              <w:lastRenderedPageBreak/>
              <w:t>Explain that women with money and family support were more likely to be able to take up opportunities.</w:t>
            </w:r>
          </w:p>
          <w:p w14:paraId="1C1836D7" w14:textId="77777777" w:rsidR="006C376F" w:rsidRPr="00D115AD" w:rsidRDefault="006C376F" w:rsidP="00D505E3">
            <w:pPr>
              <w:pStyle w:val="Bullet1"/>
            </w:pPr>
            <w:r w:rsidRPr="00D115AD">
              <w:t xml:space="preserve">Explain how women created opportunities by working together. </w:t>
            </w:r>
          </w:p>
          <w:p w14:paraId="67FCA59A" w14:textId="77777777" w:rsidR="006C376F" w:rsidRPr="00D115AD" w:rsidRDefault="006C376F" w:rsidP="00D505E3">
            <w:pPr>
              <w:pStyle w:val="Bullet1"/>
            </w:pPr>
            <w:r w:rsidRPr="00D115AD">
              <w:t xml:space="preserve">Recognise that there were a wide variety of ways in which women were seeking to express who they were. 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FA6E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Misconceptions to avoid:</w:t>
            </w:r>
          </w:p>
          <w:p w14:paraId="16B946F9" w14:textId="77777777" w:rsidR="006C376F" w:rsidRPr="00D115AD" w:rsidRDefault="006C376F" w:rsidP="00D505E3">
            <w:pPr>
              <w:pStyle w:val="Bullet1"/>
            </w:pPr>
            <w:r w:rsidRPr="00D115AD">
              <w:t>That ‘getting the vote’ was the end of the story.</w:t>
            </w:r>
          </w:p>
          <w:p w14:paraId="5CE47F58" w14:textId="77777777" w:rsidR="006C376F" w:rsidRPr="00D115AD" w:rsidRDefault="006C376F" w:rsidP="00D505E3">
            <w:pPr>
              <w:pStyle w:val="Bullet1"/>
            </w:pPr>
            <w:r w:rsidRPr="00D115AD">
              <w:lastRenderedPageBreak/>
              <w:t xml:space="preserve">That other identities that people had were insignificant in their lives. </w:t>
            </w:r>
          </w:p>
        </w:tc>
      </w:tr>
      <w:tr w:rsidR="006C376F" w:rsidRPr="00D115AD" w14:paraId="7AEFB3AE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7EF5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End question:</w:t>
            </w:r>
          </w:p>
          <w:p w14:paraId="09FF4191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did some people face opposition in the 1920s? (Page 25)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12DF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 xml:space="preserve">A strong answer will: </w:t>
            </w:r>
          </w:p>
          <w:p w14:paraId="5F77BB85" w14:textId="77777777" w:rsidR="006C376F" w:rsidRPr="00D115AD" w:rsidRDefault="006C376F" w:rsidP="00D505E3">
            <w:pPr>
              <w:pStyle w:val="Bullet1"/>
            </w:pPr>
            <w:r w:rsidRPr="00D115AD">
              <w:t xml:space="preserve">Explain that there was powerful opposition to the way some people wanted to live that was framed as a moral problem. </w:t>
            </w:r>
          </w:p>
          <w:p w14:paraId="0F61B43D" w14:textId="77777777" w:rsidR="006C376F" w:rsidRPr="00D115AD" w:rsidRDefault="006C376F" w:rsidP="00D505E3">
            <w:pPr>
              <w:pStyle w:val="Bullet1"/>
            </w:pPr>
            <w:r w:rsidRPr="00D115AD">
              <w:t xml:space="preserve">Recognise that attempts to outlaw female homosexuality failed, but that there were still strong social taboos that meant many people had to lead secretive lives and cases in court became </w:t>
            </w:r>
            <w:proofErr w:type="spellStart"/>
            <w:r w:rsidRPr="00D115AD">
              <w:t>‘cause</w:t>
            </w:r>
            <w:proofErr w:type="spellEnd"/>
            <w:r w:rsidRPr="00D115AD">
              <w:t xml:space="preserve"> celebre’.  </w:t>
            </w:r>
          </w:p>
          <w:p w14:paraId="324C303F" w14:textId="77777777" w:rsidR="006C376F" w:rsidRPr="00D115AD" w:rsidRDefault="006C376F" w:rsidP="00D505E3">
            <w:pPr>
              <w:pStyle w:val="Bullet1"/>
            </w:pPr>
            <w:r w:rsidRPr="00D115AD">
              <w:t>Understand that there was some sympathy for people, although this was conflicted.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C18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 xml:space="preserve">Misconceptions to </w:t>
            </w:r>
            <w:proofErr w:type="gramStart"/>
            <w:r w:rsidRPr="00D115AD">
              <w:rPr>
                <w:rFonts w:ascii="Source Sans Pro" w:hAnsi="Source Sans Pro"/>
                <w:b/>
              </w:rPr>
              <w:t>avoid</w:t>
            </w:r>
            <w:proofErr w:type="gramEnd"/>
            <w:r w:rsidRPr="00D115AD">
              <w:rPr>
                <w:rFonts w:ascii="Source Sans Pro" w:hAnsi="Source Sans Pro"/>
                <w:b/>
              </w:rPr>
              <w:t xml:space="preserve"> </w:t>
            </w:r>
          </w:p>
          <w:p w14:paraId="4F84D779" w14:textId="77777777" w:rsidR="006C376F" w:rsidRPr="00D115AD" w:rsidRDefault="006C376F" w:rsidP="00D505E3">
            <w:pPr>
              <w:pStyle w:val="Bullet1"/>
            </w:pPr>
            <w:r w:rsidRPr="00D115AD">
              <w:t>That everyone shared the same beliefs.</w:t>
            </w:r>
          </w:p>
          <w:p w14:paraId="364B1EF7" w14:textId="77777777" w:rsidR="006C376F" w:rsidRPr="00D115AD" w:rsidRDefault="006C376F" w:rsidP="00D505E3">
            <w:pPr>
              <w:pStyle w:val="Bullet1"/>
            </w:pPr>
            <w:r w:rsidRPr="00D115AD">
              <w:t>That we should not apply categories and descriptions we use today without recognising that we do not usually know how people would have wanted to describe themselves.</w:t>
            </w:r>
          </w:p>
        </w:tc>
      </w:tr>
    </w:tbl>
    <w:p w14:paraId="3B4219BA" w14:textId="19AA3CAD" w:rsidR="007717F3" w:rsidRDefault="007717F3">
      <w:pPr>
        <w:rPr>
          <w:rFonts w:ascii="Source Sans Pro" w:eastAsia="Lexend Deca" w:hAnsi="Source Sans Pro" w:cs="Lexend Dec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6C376F" w:rsidRPr="00D115AD" w14:paraId="4C1DAEF8" w14:textId="77777777" w:rsidTr="00162378">
        <w:trPr>
          <w:trHeight w:val="400"/>
          <w:tblHeader/>
        </w:trPr>
        <w:tc>
          <w:tcPr>
            <w:tcW w:w="5000" w:type="pct"/>
            <w:gridSpan w:val="3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0C8B" w14:textId="77777777" w:rsidR="006C376F" w:rsidRPr="00D115AD" w:rsidRDefault="006C376F" w:rsidP="00E02C59">
            <w:pPr>
              <w:pStyle w:val="TableHeade"/>
            </w:pPr>
            <w:r w:rsidRPr="00D115AD">
              <w:t>2.2 How did Britain face the challenges of the period, 1930–45?</w:t>
            </w:r>
          </w:p>
          <w:p w14:paraId="4856FC66" w14:textId="77777777" w:rsidR="006C376F" w:rsidRPr="00D115AD" w:rsidRDefault="006C376F" w:rsidP="00E02C59">
            <w:pPr>
              <w:pStyle w:val="TableSubhead"/>
            </w:pPr>
            <w:r w:rsidRPr="00D115AD">
              <w:t>Pages 34–41</w:t>
            </w:r>
          </w:p>
        </w:tc>
      </w:tr>
      <w:tr w:rsidR="006C376F" w:rsidRPr="00D115AD" w14:paraId="59F20791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38B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Big question:</w:t>
            </w:r>
          </w:p>
          <w:p w14:paraId="67635990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How did people in Britain face the </w:t>
            </w:r>
            <w:r w:rsidRPr="00D115AD">
              <w:rPr>
                <w:rFonts w:ascii="Source Sans Pro" w:eastAsia="Lexend Deca" w:hAnsi="Source Sans Pro" w:cstheme="majorHAnsi"/>
              </w:rPr>
              <w:lastRenderedPageBreak/>
              <w:t>challenges of the period, 1930–45?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DE46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A strong answer will:</w:t>
            </w:r>
          </w:p>
          <w:p w14:paraId="03AF1207" w14:textId="77777777" w:rsidR="006C376F" w:rsidRPr="00DE4066" w:rsidRDefault="006C376F" w:rsidP="00D505E3">
            <w:pPr>
              <w:pStyle w:val="Bullet1"/>
            </w:pPr>
            <w:r w:rsidRPr="00DE4066">
              <w:lastRenderedPageBreak/>
              <w:t>Understand the different challenges faced by people at the time, such as the barriers created by disability or the attitudes of society.</w:t>
            </w:r>
          </w:p>
          <w:p w14:paraId="6E534DEA" w14:textId="77777777" w:rsidR="006C376F" w:rsidRPr="00DE4066" w:rsidRDefault="006C376F" w:rsidP="00D505E3">
            <w:pPr>
              <w:pStyle w:val="Bullet1"/>
            </w:pPr>
            <w:r w:rsidRPr="00DE4066">
              <w:t>Draw out the similarities in their experiences, for example the resilience they show when faced with obstacles.</w:t>
            </w:r>
          </w:p>
          <w:p w14:paraId="0CE0ECC4" w14:textId="77777777" w:rsidR="006C376F" w:rsidRPr="00D115AD" w:rsidRDefault="006C376F" w:rsidP="00D505E3">
            <w:pPr>
              <w:pStyle w:val="Bullet1"/>
            </w:pPr>
            <w:r w:rsidRPr="00DE4066">
              <w:t xml:space="preserve">Recognise that war brought out examples of tolerance to people who were different, but also entrenched prejudice (East </w:t>
            </w:r>
            <w:proofErr w:type="spellStart"/>
            <w:r w:rsidRPr="00DE4066">
              <w:t>Grinstead</w:t>
            </w:r>
            <w:proofErr w:type="spellEnd"/>
            <w:r w:rsidRPr="00DE4066">
              <w:t xml:space="preserve"> vs Belvedere Marshes).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DE44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Misconceptions to avoid:</w:t>
            </w:r>
          </w:p>
          <w:p w14:paraId="79469FFB" w14:textId="77777777" w:rsidR="006C376F" w:rsidRPr="00D505E3" w:rsidRDefault="006C376F" w:rsidP="00D505E3">
            <w:pPr>
              <w:pStyle w:val="Bullet1"/>
            </w:pPr>
            <w:r w:rsidRPr="00D505E3">
              <w:lastRenderedPageBreak/>
              <w:t>That change happened without obstacles or challenges.</w:t>
            </w:r>
          </w:p>
          <w:p w14:paraId="257452C0" w14:textId="77777777" w:rsidR="006C376F" w:rsidRPr="00D505E3" w:rsidRDefault="006C376F" w:rsidP="00D505E3">
            <w:pPr>
              <w:pStyle w:val="Bullet1"/>
            </w:pPr>
            <w:r w:rsidRPr="00D505E3">
              <w:t>That change happened quickly.</w:t>
            </w:r>
          </w:p>
          <w:p w14:paraId="7A975F3F" w14:textId="77777777" w:rsidR="006C376F" w:rsidRPr="003159C4" w:rsidRDefault="006C376F" w:rsidP="00D505E3">
            <w:pPr>
              <w:pStyle w:val="Bullet1"/>
            </w:pPr>
            <w:r w:rsidRPr="00D505E3">
              <w:t>That people were all facing the same challenges between 1930 and 1945</w:t>
            </w:r>
            <w:r w:rsidRPr="003159C4">
              <w:t>.</w:t>
            </w:r>
          </w:p>
          <w:p w14:paraId="1C2DE960" w14:textId="77777777" w:rsidR="006C376F" w:rsidRPr="00D115AD" w:rsidRDefault="006C376F" w:rsidP="00BA2AEF">
            <w:pPr>
              <w:pStyle w:val="Body"/>
              <w:spacing w:before="120" w:after="0"/>
            </w:pPr>
            <w:r w:rsidRPr="00D115AD">
              <w:t xml:space="preserve">That the Second World War was the </w:t>
            </w:r>
            <w:r w:rsidRPr="00D115AD">
              <w:rPr>
                <w:b/>
              </w:rPr>
              <w:t>only</w:t>
            </w:r>
            <w:r w:rsidRPr="00D115AD">
              <w:t xml:space="preserve"> challenge people faced in this period.</w:t>
            </w:r>
          </w:p>
          <w:p w14:paraId="285EDA86" w14:textId="77777777" w:rsidR="006C376F" w:rsidRPr="00D115AD" w:rsidRDefault="006C376F" w:rsidP="00D505E3">
            <w:pPr>
              <w:pStyle w:val="Bullet1"/>
            </w:pPr>
            <w:r w:rsidRPr="00D115AD">
              <w:t xml:space="preserve">That war can never offer opportunity, </w:t>
            </w:r>
            <w:proofErr w:type="gramStart"/>
            <w:r w:rsidRPr="00D115AD">
              <w:t>e.g.</w:t>
            </w:r>
            <w:proofErr w:type="gramEnd"/>
            <w:r w:rsidRPr="00D115AD">
              <w:t xml:space="preserve"> Douglas’ story.</w:t>
            </w:r>
          </w:p>
        </w:tc>
      </w:tr>
      <w:tr w:rsidR="006C376F" w:rsidRPr="00D115AD" w14:paraId="587B9A3C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2B0E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 xml:space="preserve">Little question: </w:t>
            </w:r>
          </w:p>
          <w:p w14:paraId="219588B6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were the consequences of Douglas’ determination?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34)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72AE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25FE3868" w14:textId="77777777" w:rsidR="006C376F" w:rsidRPr="00D115AD" w:rsidRDefault="006C376F" w:rsidP="00D505E3">
            <w:pPr>
              <w:pStyle w:val="Bullet1"/>
            </w:pPr>
            <w:r w:rsidRPr="00D115AD">
              <w:t>Understand how Douglas was able to show that a disability did not prevent him doing his job.</w:t>
            </w:r>
          </w:p>
          <w:p w14:paraId="24C6B44B" w14:textId="77777777" w:rsidR="006C376F" w:rsidRPr="00D115AD" w:rsidRDefault="006C376F" w:rsidP="00D505E3">
            <w:pPr>
              <w:pStyle w:val="Bullet1"/>
            </w:pPr>
            <w:r w:rsidRPr="00D115AD">
              <w:t>Understand how Douglas became a role model to others who had a physical disability.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5D4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60AB3012" w14:textId="77777777" w:rsidR="006C376F" w:rsidRPr="00D115AD" w:rsidRDefault="006C376F" w:rsidP="00D505E3">
            <w:pPr>
              <w:pStyle w:val="Bullet1"/>
            </w:pPr>
            <w:r w:rsidRPr="00D115AD">
              <w:t xml:space="preserve">That Douglas’ experience was typical of the time. </w:t>
            </w:r>
          </w:p>
          <w:p w14:paraId="226003B9" w14:textId="77777777" w:rsidR="006C376F" w:rsidRPr="00D115AD" w:rsidRDefault="006C376F" w:rsidP="00D505E3">
            <w:pPr>
              <w:pStyle w:val="Bullet1"/>
            </w:pPr>
            <w:r w:rsidRPr="00D115AD">
              <w:t xml:space="preserve">That the only way to be a disabled person is to be in some way heroic – this is exhausting! </w:t>
            </w:r>
          </w:p>
        </w:tc>
      </w:tr>
      <w:tr w:rsidR="006C376F" w:rsidRPr="00D115AD" w14:paraId="4372C87B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DB52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</w:t>
            </w:r>
            <w:r w:rsidRPr="00D115AD">
              <w:rPr>
                <w:rFonts w:ascii="Source Sans Pro" w:hAnsi="Source Sans Pro"/>
              </w:rPr>
              <w:t>:</w:t>
            </w:r>
          </w:p>
          <w:p w14:paraId="5262A55D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kind of challenges did marginalised people face when trying to express themselves?</w:t>
            </w:r>
          </w:p>
          <w:p w14:paraId="2D6ED30D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</w:p>
          <w:p w14:paraId="0FA373A4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did they respond to these challenges?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35)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0CD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Strong answers will:</w:t>
            </w:r>
          </w:p>
          <w:p w14:paraId="403202D4" w14:textId="77777777" w:rsidR="006C376F" w:rsidRPr="00D115AD" w:rsidRDefault="006C376F" w:rsidP="00D505E3">
            <w:pPr>
              <w:pStyle w:val="Bullet1"/>
            </w:pPr>
            <w:r w:rsidRPr="00D115AD">
              <w:t xml:space="preserve">Identify how the police used different laws to control social spaces used by marginalised people. </w:t>
            </w:r>
          </w:p>
          <w:p w14:paraId="59A34D9D" w14:textId="77777777" w:rsidR="006C376F" w:rsidRPr="00D115AD" w:rsidRDefault="006C376F" w:rsidP="00D505E3">
            <w:pPr>
              <w:pStyle w:val="Bullet1"/>
            </w:pPr>
            <w:r w:rsidRPr="00D115AD">
              <w:t xml:space="preserve">Infer the lack of freedom that came with being watched. </w:t>
            </w:r>
          </w:p>
          <w:p w14:paraId="68E56EA1" w14:textId="77777777" w:rsidR="006C376F" w:rsidRPr="00D115AD" w:rsidRDefault="006C376F" w:rsidP="00D505E3">
            <w:pPr>
              <w:pStyle w:val="Bullet1"/>
            </w:pPr>
            <w:r w:rsidRPr="00D115AD">
              <w:t xml:space="preserve">Identify hostility from neighbours and reporting to the police. </w:t>
            </w:r>
          </w:p>
          <w:p w14:paraId="44D1F439" w14:textId="77777777" w:rsidR="006C376F" w:rsidRPr="00D115AD" w:rsidRDefault="006C376F" w:rsidP="00D505E3">
            <w:pPr>
              <w:pStyle w:val="Bullet1"/>
            </w:pPr>
            <w:r w:rsidRPr="00D115AD">
              <w:lastRenderedPageBreak/>
              <w:t xml:space="preserve">Identify how marginalised groups set up and went to places like the Shim Sham Club in the face of opposition, and that this is a form of resistance to pressure to conform. </w:t>
            </w:r>
          </w:p>
          <w:p w14:paraId="45931176" w14:textId="77777777" w:rsidR="006C376F" w:rsidRPr="00D115AD" w:rsidRDefault="006C376F" w:rsidP="00D505E3">
            <w:pPr>
              <w:pStyle w:val="Bullet1"/>
            </w:pPr>
            <w:r w:rsidRPr="00D115AD">
              <w:t xml:space="preserve">Describe how places like the Shim Sham Club were used by a range of different groups. 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C524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Misconceptions to avoid:</w:t>
            </w:r>
          </w:p>
          <w:p w14:paraId="62C4D7C8" w14:textId="77777777" w:rsidR="006C376F" w:rsidRPr="00D115AD" w:rsidRDefault="006C376F" w:rsidP="00D505E3">
            <w:pPr>
              <w:pStyle w:val="Bullet1"/>
            </w:pPr>
            <w:r w:rsidRPr="00D115AD">
              <w:t xml:space="preserve">That places like the Shim Sham club were ‘gay bars’ in the contemporary sense. Many were used by a multitude of different groups, which included LGBTQ+ people. </w:t>
            </w:r>
          </w:p>
          <w:p w14:paraId="34970E77" w14:textId="77777777" w:rsidR="006C376F" w:rsidRPr="00D115AD" w:rsidRDefault="006C376F" w:rsidP="00D505E3">
            <w:pPr>
              <w:pStyle w:val="Bullet1"/>
            </w:pPr>
            <w:r w:rsidRPr="00D115AD">
              <w:lastRenderedPageBreak/>
              <w:t xml:space="preserve">That these kinds of places could only be found in London. </w:t>
            </w:r>
          </w:p>
          <w:p w14:paraId="2212B9E8" w14:textId="77777777" w:rsidR="006C376F" w:rsidRPr="00D115AD" w:rsidRDefault="006C376F" w:rsidP="00D505E3">
            <w:pPr>
              <w:pStyle w:val="Bullet1"/>
            </w:pPr>
            <w:r w:rsidRPr="00D115AD">
              <w:t xml:space="preserve">That only wealthy or upper-class people could go to them. </w:t>
            </w:r>
          </w:p>
        </w:tc>
      </w:tr>
      <w:tr w:rsidR="006C376F" w:rsidRPr="00D115AD" w14:paraId="3DD43EAC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F04D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Little question:</w:t>
            </w:r>
          </w:p>
          <w:p w14:paraId="04EC76BE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did Ellen’s beliefs and background influence her actions?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36) 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1669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122CAD9D" w14:textId="77777777" w:rsidR="006C376F" w:rsidRPr="00D115AD" w:rsidRDefault="006C376F" w:rsidP="00D505E3">
            <w:pPr>
              <w:pStyle w:val="Bullet1"/>
            </w:pPr>
            <w:r w:rsidRPr="00D115AD">
              <w:t xml:space="preserve">Recognise the impact of growing up relatively under-privileged, her faith, her </w:t>
            </w:r>
            <w:proofErr w:type="gramStart"/>
            <w:r w:rsidRPr="00D115AD">
              <w:t>family</w:t>
            </w:r>
            <w:proofErr w:type="gramEnd"/>
            <w:r w:rsidRPr="00D115AD">
              <w:t xml:space="preserve"> and her education on her political views. </w:t>
            </w:r>
          </w:p>
          <w:p w14:paraId="570D1010" w14:textId="77777777" w:rsidR="006C376F" w:rsidRPr="00D115AD" w:rsidRDefault="006C376F" w:rsidP="00D505E3">
            <w:pPr>
              <w:pStyle w:val="Bullet1"/>
            </w:pPr>
            <w:r w:rsidRPr="00D115AD">
              <w:t>That her personality traits also influenced her actions.</w:t>
            </w:r>
          </w:p>
          <w:p w14:paraId="2B2E2036" w14:textId="77777777" w:rsidR="006C376F" w:rsidRPr="00D115AD" w:rsidRDefault="006C376F" w:rsidP="00D505E3">
            <w:pPr>
              <w:pStyle w:val="Bullet1"/>
            </w:pPr>
            <w:r w:rsidRPr="00D115AD">
              <w:t>Explain that she overcame her own struggles with hardship and ill health.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8EC3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61EF8BD4" w14:textId="77777777" w:rsidR="006C376F" w:rsidRPr="00D115AD" w:rsidRDefault="006C376F" w:rsidP="00D505E3">
            <w:pPr>
              <w:pStyle w:val="Bullet1"/>
            </w:pPr>
            <w:r w:rsidRPr="00D115AD">
              <w:t xml:space="preserve">That Ellen was the usual profile of an MP of her times. </w:t>
            </w:r>
          </w:p>
        </w:tc>
      </w:tr>
      <w:tr w:rsidR="006C376F" w:rsidRPr="00D115AD" w14:paraId="5EB67E9A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3397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3548D8EF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hardships did the Depression and war bring Mary?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37)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21B0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7A94471C" w14:textId="77777777" w:rsidR="006C376F" w:rsidRPr="00D115AD" w:rsidRDefault="006C376F" w:rsidP="00D505E3">
            <w:pPr>
              <w:pStyle w:val="Bullet1"/>
            </w:pPr>
            <w:r w:rsidRPr="00D115AD">
              <w:t xml:space="preserve">Recognise the combination of the combined stresses of economic hardship, worry for her absent husband, the caring burden of being a single parent, the fear of death by bombing and the adjustments she had to make as change happened to her. 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E5C6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2A13A649" w14:textId="77777777" w:rsidR="006C376F" w:rsidRPr="00D115AD" w:rsidRDefault="006C376F" w:rsidP="00D505E3">
            <w:pPr>
              <w:pStyle w:val="Bullet1"/>
            </w:pPr>
            <w:r w:rsidRPr="00D115AD">
              <w:t>That war experience was the same for everyone.</w:t>
            </w:r>
          </w:p>
          <w:p w14:paraId="4EDF11B0" w14:textId="77777777" w:rsidR="006C376F" w:rsidRPr="00D115AD" w:rsidRDefault="006C376F" w:rsidP="00D505E3">
            <w:pPr>
              <w:pStyle w:val="Bullet1"/>
            </w:pPr>
            <w:r w:rsidRPr="00D115AD">
              <w:t xml:space="preserve">That this story would be written in this way if Mary’s own record of events had survived. </w:t>
            </w:r>
          </w:p>
        </w:tc>
      </w:tr>
      <w:tr w:rsidR="006C376F" w:rsidRPr="00D115AD" w14:paraId="22842F13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C8D8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69DCB359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How does the story of the Belvedere Marsh community challenge the </w:t>
            </w:r>
            <w:r w:rsidRPr="00D115AD">
              <w:rPr>
                <w:rFonts w:ascii="Source Sans Pro" w:eastAsia="Lexend Deca" w:hAnsi="Source Sans Pro" w:cstheme="majorHAnsi"/>
              </w:rPr>
              <w:lastRenderedPageBreak/>
              <w:t>idea that all people in Britain were united in the face of the challenges in this period?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38)</w:t>
            </w:r>
          </w:p>
          <w:p w14:paraId="52D955F7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CF80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A strong answer will:</w:t>
            </w:r>
          </w:p>
          <w:p w14:paraId="50FC5B7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</w:rPr>
              <w:lastRenderedPageBreak/>
              <w:t xml:space="preserve">Recognise that these people were marginalised in the 1930s and that war did not change that. </w:t>
            </w:r>
          </w:p>
          <w:p w14:paraId="7C4E72CB" w14:textId="77777777" w:rsidR="006C376F" w:rsidRPr="00D115AD" w:rsidRDefault="006C376F" w:rsidP="00D505E3">
            <w:pPr>
              <w:pStyle w:val="Bullet1"/>
            </w:pPr>
            <w:r w:rsidRPr="00D115AD">
              <w:t xml:space="preserve">Perceive the double-standard that tried to evict </w:t>
            </w:r>
            <w:proofErr w:type="gramStart"/>
            <w:r w:rsidRPr="00D115AD">
              <w:t>land owners</w:t>
            </w:r>
            <w:proofErr w:type="gramEnd"/>
            <w:r w:rsidRPr="00D115AD">
              <w:t xml:space="preserve"> and then refused them shelters ‘as they were nomads’.</w:t>
            </w:r>
          </w:p>
          <w:p w14:paraId="6896D246" w14:textId="77777777" w:rsidR="006C376F" w:rsidRPr="00D115AD" w:rsidRDefault="006C376F" w:rsidP="00D505E3">
            <w:pPr>
              <w:pStyle w:val="Bullet1"/>
            </w:pPr>
            <w:r w:rsidRPr="00D115AD">
              <w:t>Notice how national government was less hostile than local government.</w:t>
            </w:r>
          </w:p>
          <w:p w14:paraId="7D0DC36F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</w:rPr>
              <w:t xml:space="preserve">Notice how the lack of local support continued to deprive people of their rights. 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6AC5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Misconceptions to avoid:</w:t>
            </w:r>
          </w:p>
          <w:p w14:paraId="2E7FBB58" w14:textId="77777777" w:rsidR="006C376F" w:rsidRPr="00D115AD" w:rsidRDefault="006C376F" w:rsidP="00D505E3">
            <w:pPr>
              <w:pStyle w:val="Bullet1"/>
            </w:pPr>
            <w:r w:rsidRPr="00D115AD">
              <w:lastRenderedPageBreak/>
              <w:t xml:space="preserve">That the community were unlawfully on the land. They owned it! </w:t>
            </w:r>
          </w:p>
          <w:p w14:paraId="7542E626" w14:textId="77777777" w:rsidR="006C376F" w:rsidRPr="00D115AD" w:rsidRDefault="006C376F" w:rsidP="00A703A6">
            <w:pPr>
              <w:pStyle w:val="TableEmphasis"/>
            </w:pPr>
          </w:p>
        </w:tc>
      </w:tr>
      <w:tr w:rsidR="006C376F" w:rsidRPr="00D115AD" w14:paraId="08C8231B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BBB3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Little question:</w:t>
            </w:r>
          </w:p>
          <w:p w14:paraId="0443AD07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was Lillian’s life shaped by challenges between 1935 and 1945?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39)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A7B5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5E9B8D24" w14:textId="77777777" w:rsidR="006C376F" w:rsidRPr="00D115AD" w:rsidRDefault="006C376F" w:rsidP="00D505E3">
            <w:pPr>
              <w:pStyle w:val="Bullet1"/>
            </w:pPr>
            <w:r w:rsidRPr="00D115AD">
              <w:t xml:space="preserve">Recognise that Lillian faced considerable disadvantages and that it was her determination and disposition that was a major factor in enabling her to achieve what she did. 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755F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77DD8870" w14:textId="77777777" w:rsidR="006C376F" w:rsidRPr="00D115AD" w:rsidRDefault="006C376F" w:rsidP="00D505E3">
            <w:pPr>
              <w:pStyle w:val="Bullet1"/>
            </w:pPr>
            <w:r w:rsidRPr="00D115AD">
              <w:t xml:space="preserve">To assess her leaving of the WAAF as we might in the twenty-first century. Her life had moved on. We have no evidence that she was unhappy to leave. </w:t>
            </w:r>
          </w:p>
        </w:tc>
      </w:tr>
      <w:tr w:rsidR="006C376F" w:rsidRPr="00D115AD" w14:paraId="5AEAE693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8460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329E07E1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How were the Lascars’ wartime experiences 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similar to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and different from those of other merchant navy men?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40)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14A2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05A184A7" w14:textId="77777777" w:rsidR="006C376F" w:rsidRPr="00D115AD" w:rsidRDefault="006C376F" w:rsidP="00D505E3">
            <w:pPr>
              <w:pStyle w:val="Bullet1"/>
            </w:pPr>
            <w:r w:rsidRPr="00D115AD">
              <w:t xml:space="preserve">Recognise that all merchant seamen did work vital to the British economy and that this was extremely dangerous in war time. </w:t>
            </w:r>
          </w:p>
          <w:p w14:paraId="206AA4DB" w14:textId="77777777" w:rsidR="006C376F" w:rsidRPr="00D115AD" w:rsidRDefault="006C376F" w:rsidP="00D505E3">
            <w:pPr>
              <w:pStyle w:val="Bullet1"/>
            </w:pPr>
            <w:r w:rsidRPr="00D115AD">
              <w:t>Recognise that before the war the Lascars received substantially lower wages and poorer working conditions than their white European counterparts and that this continued, despite the war.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2327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48A84E7B" w14:textId="77777777" w:rsidR="006C376F" w:rsidRPr="00D115AD" w:rsidRDefault="006C376F" w:rsidP="00D505E3">
            <w:pPr>
              <w:pStyle w:val="Bullet1"/>
            </w:pPr>
            <w:r w:rsidRPr="00D115AD">
              <w:t xml:space="preserve">That </w:t>
            </w:r>
            <w:proofErr w:type="gramStart"/>
            <w:r w:rsidRPr="00D115AD">
              <w:t>a large number of</w:t>
            </w:r>
            <w:proofErr w:type="gramEnd"/>
            <w:r w:rsidRPr="00D115AD">
              <w:t xml:space="preserve"> black and Asian people only moved to British cities and towns in the second half of the twentieth century. </w:t>
            </w:r>
          </w:p>
          <w:p w14:paraId="7BD7B12D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</w:p>
          <w:p w14:paraId="1CB50C27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</w:p>
          <w:p w14:paraId="689FF0EF" w14:textId="77777777" w:rsidR="006C376F" w:rsidRPr="00D115AD" w:rsidRDefault="006C376F" w:rsidP="00A703A6">
            <w:pPr>
              <w:pStyle w:val="TableEmphasis"/>
            </w:pPr>
          </w:p>
        </w:tc>
      </w:tr>
      <w:tr w:rsidR="006C376F" w:rsidRPr="00D115AD" w14:paraId="5273AE84" w14:textId="77777777" w:rsidTr="00E02C59">
        <w:tc>
          <w:tcPr>
            <w:tcW w:w="124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88DF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Little question:</w:t>
            </w:r>
          </w:p>
          <w:p w14:paraId="103B82F8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and why did the impact of war lead to a greater acceptance of people who looked different?</w:t>
            </w:r>
          </w:p>
          <w:p w14:paraId="01D8E9B1" w14:textId="58E5EFE5" w:rsidR="006C376F" w:rsidRPr="007717F3" w:rsidRDefault="006C376F" w:rsidP="007717F3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41)</w:t>
            </w:r>
          </w:p>
        </w:tc>
        <w:tc>
          <w:tcPr>
            <w:tcW w:w="2094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DC4D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38D56E3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</w:rPr>
              <w:t xml:space="preserve">Explain that strong leadership encouraged the people of the town of East </w:t>
            </w:r>
            <w:proofErr w:type="spellStart"/>
            <w:r w:rsidRPr="00D115AD">
              <w:rPr>
                <w:rFonts w:ascii="Source Sans Pro" w:hAnsi="Source Sans Pro"/>
              </w:rPr>
              <w:t>Grinstead</w:t>
            </w:r>
            <w:proofErr w:type="spellEnd"/>
            <w:r w:rsidRPr="00D115AD">
              <w:rPr>
                <w:rFonts w:ascii="Source Sans Pro" w:hAnsi="Source Sans Pro"/>
              </w:rPr>
              <w:t xml:space="preserve"> to change their approach to those who looked different.</w:t>
            </w:r>
          </w:p>
          <w:p w14:paraId="6EF2D2BA" w14:textId="77777777" w:rsidR="006C376F" w:rsidRPr="00D115AD" w:rsidRDefault="006C376F" w:rsidP="00D505E3">
            <w:pPr>
              <w:pStyle w:val="Bullet1"/>
            </w:pPr>
            <w:r w:rsidRPr="00D115AD">
              <w:t>Recognise that the war enabled the Guinea Pig Club to be seen as heroes.</w:t>
            </w:r>
          </w:p>
          <w:p w14:paraId="748B2F17" w14:textId="77777777" w:rsidR="006C376F" w:rsidRPr="00D115AD" w:rsidRDefault="006C376F" w:rsidP="00D505E3">
            <w:pPr>
              <w:pStyle w:val="Bullet1"/>
            </w:pPr>
            <w:r w:rsidRPr="00D115AD">
              <w:t xml:space="preserve">Explain that the quantity of injuries helped to change opinions. </w:t>
            </w:r>
          </w:p>
        </w:tc>
        <w:tc>
          <w:tcPr>
            <w:tcW w:w="1663" w:type="pct"/>
            <w:tcBorders>
              <w:top w:val="single" w:sz="8" w:space="0" w:color="0EAE9D"/>
              <w:left w:val="single" w:sz="8" w:space="0" w:color="0EAE9D"/>
              <w:bottom w:val="single" w:sz="8" w:space="0" w:color="0EAE9D"/>
              <w:right w:val="single" w:sz="8" w:space="0" w:color="0EAE9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7992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3336A564" w14:textId="77777777" w:rsidR="006C376F" w:rsidRPr="00D115AD" w:rsidRDefault="006C376F" w:rsidP="00D505E3">
            <w:pPr>
              <w:pStyle w:val="Bullet1"/>
            </w:pPr>
            <w:r w:rsidRPr="00D115AD">
              <w:t xml:space="preserve">All people who looked different had the same positive experience as the members of the Guinea Pig Club of East </w:t>
            </w:r>
            <w:proofErr w:type="spellStart"/>
            <w:r w:rsidRPr="00D115AD">
              <w:t>Grinstead</w:t>
            </w:r>
            <w:proofErr w:type="spellEnd"/>
            <w:r w:rsidRPr="00D115AD">
              <w:t xml:space="preserve">. </w:t>
            </w:r>
          </w:p>
        </w:tc>
      </w:tr>
    </w:tbl>
    <w:p w14:paraId="0498C7F7" w14:textId="6F657852" w:rsidR="007717F3" w:rsidRDefault="007717F3">
      <w:pPr>
        <w:rPr>
          <w:rFonts w:ascii="Source Sans Pro" w:eastAsia="Lexend Deca" w:hAnsi="Source Sans Pro" w:cs="Lexend Deca"/>
        </w:rPr>
      </w:pPr>
    </w:p>
    <w:tbl>
      <w:tblPr>
        <w:tblW w:w="5000" w:type="pct"/>
        <w:tblBorders>
          <w:top w:val="single" w:sz="8" w:space="0" w:color="0EAE9D"/>
          <w:left w:val="single" w:sz="8" w:space="0" w:color="0EAE9D"/>
          <w:bottom w:val="single" w:sz="8" w:space="0" w:color="0EAE9D"/>
          <w:right w:val="single" w:sz="8" w:space="0" w:color="0EAE9D"/>
          <w:insideH w:val="single" w:sz="8" w:space="0" w:color="0EAE9D"/>
          <w:insideV w:val="single" w:sz="8" w:space="0" w:color="0EAE9D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6C376F" w:rsidRPr="00D115AD" w14:paraId="60390BAB" w14:textId="77777777" w:rsidTr="00162378">
        <w:trPr>
          <w:trHeight w:val="400"/>
          <w:tblHeader/>
        </w:trPr>
        <w:tc>
          <w:tcPr>
            <w:tcW w:w="5000" w:type="pct"/>
            <w:gridSpan w:val="3"/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6B05" w14:textId="77777777" w:rsidR="006C376F" w:rsidRPr="00D115AD" w:rsidRDefault="006C376F" w:rsidP="00E02C59">
            <w:pPr>
              <w:pStyle w:val="TableHeade"/>
            </w:pPr>
            <w:r w:rsidRPr="00D115AD">
              <w:t xml:space="preserve">Making History: Where do we find evidence of past lives? </w:t>
            </w:r>
          </w:p>
          <w:p w14:paraId="0CD8476E" w14:textId="77777777" w:rsidR="006C376F" w:rsidRPr="00D115AD" w:rsidRDefault="006C376F" w:rsidP="00E02C59">
            <w:pPr>
              <w:pStyle w:val="TableSubhead"/>
            </w:pPr>
            <w:r w:rsidRPr="00A703A6">
              <w:t>Pages 42–43</w:t>
            </w:r>
          </w:p>
        </w:tc>
      </w:tr>
      <w:tr w:rsidR="006C376F" w:rsidRPr="00D115AD" w14:paraId="6BFAA4FB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8E9E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104901AB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can we learn about the lives of LGBTQ+ people from this police record?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42)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AE6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161D5302" w14:textId="77777777" w:rsidR="006C376F" w:rsidRPr="00D115AD" w:rsidRDefault="006C376F" w:rsidP="00D505E3">
            <w:pPr>
              <w:pStyle w:val="Bullet1"/>
            </w:pPr>
            <w:r w:rsidRPr="00D115AD">
              <w:t xml:space="preserve">Go beyond inferences about who people were and what they were doing to comment on how the record is a judgement from other people (the police) about people’s lives, and that this shapes what we can learn.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2B2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4DB320B5" w14:textId="77777777" w:rsidR="006C376F" w:rsidRPr="00D115AD" w:rsidRDefault="006C376F" w:rsidP="00D505E3">
            <w:pPr>
              <w:pStyle w:val="Bullet1"/>
            </w:pPr>
            <w:r w:rsidRPr="00D115AD">
              <w:t xml:space="preserve">That some of the descriptions used are ones that would be used today. </w:t>
            </w:r>
          </w:p>
        </w:tc>
      </w:tr>
      <w:tr w:rsidR="006C376F" w:rsidRPr="00D115AD" w14:paraId="5175AF7F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1A3D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questions:</w:t>
            </w:r>
          </w:p>
          <w:p w14:paraId="2B333CC0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What can we learn about the lives of LBGTQ+ people in the past from these sources? </w:t>
            </w:r>
          </w:p>
          <w:p w14:paraId="67AE5A21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</w:p>
          <w:p w14:paraId="26C48FA9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is the evidence in the Hall-</w:t>
            </w:r>
            <w:r w:rsidRPr="00D115AD">
              <w:rPr>
                <w:rFonts w:ascii="Source Sans Pro" w:eastAsia="Lexend Deca" w:hAnsi="Source Sans Pro" w:cstheme="majorHAnsi"/>
              </w:rPr>
              <w:lastRenderedPageBreak/>
              <w:t>Carpenter Archive sources different from the evidence we find in The National Archives’ source?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43)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820E8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Strong answers will:</w:t>
            </w:r>
          </w:p>
          <w:p w14:paraId="61A34E4E" w14:textId="77777777" w:rsidR="006C376F" w:rsidRPr="00D115AD" w:rsidRDefault="006C376F" w:rsidP="00D505E3">
            <w:pPr>
              <w:pStyle w:val="Bullet1"/>
            </w:pPr>
            <w:r w:rsidRPr="00D115AD">
              <w:t xml:space="preserve">Go beyond inferences about who people were and what they were doing, to comment on how they were organising themselves, what they were resisting and who was in support. </w:t>
            </w:r>
          </w:p>
          <w:p w14:paraId="50FFE100" w14:textId="77777777" w:rsidR="006C376F" w:rsidRPr="00D115AD" w:rsidRDefault="006C376F" w:rsidP="00D505E3">
            <w:pPr>
              <w:pStyle w:val="Bullet1"/>
            </w:pPr>
            <w:r w:rsidRPr="00D115AD">
              <w:lastRenderedPageBreak/>
              <w:t xml:space="preserve">Acknowledge that the National Archives hold records held by the state and these therefore tend to see LGBTQ+ people as a ‘problem’ in this period. </w:t>
            </w:r>
          </w:p>
          <w:p w14:paraId="03678E9A" w14:textId="77777777" w:rsidR="006C376F" w:rsidRPr="00D115AD" w:rsidRDefault="006C376F" w:rsidP="00D505E3">
            <w:pPr>
              <w:pStyle w:val="Bullet1"/>
            </w:pPr>
            <w:r w:rsidRPr="00D115AD">
              <w:t xml:space="preserve">Acknowledge that the Hall-Carpenter archive material was created by LGBTQ+ people and their allies.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5601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Misconceptions to avoid:</w:t>
            </w:r>
          </w:p>
          <w:p w14:paraId="57AE36B5" w14:textId="77777777" w:rsidR="006C376F" w:rsidRPr="00D115AD" w:rsidRDefault="006C376F" w:rsidP="00D505E3">
            <w:pPr>
              <w:pStyle w:val="Bullet1"/>
            </w:pPr>
            <w:r w:rsidRPr="00D115AD">
              <w:t>That because some of these sources are from London, all the protests were also in London.</w:t>
            </w:r>
          </w:p>
        </w:tc>
      </w:tr>
    </w:tbl>
    <w:p w14:paraId="5F3631B3" w14:textId="77777777" w:rsidR="006C376F" w:rsidRPr="00D115AD" w:rsidRDefault="006C376F" w:rsidP="006C376F">
      <w:pPr>
        <w:rPr>
          <w:rFonts w:ascii="Source Sans Pro" w:eastAsia="Lexend Deca" w:hAnsi="Source Sans Pro" w:cs="Lexend Deca"/>
        </w:rPr>
      </w:pPr>
    </w:p>
    <w:tbl>
      <w:tblPr>
        <w:tblW w:w="5000" w:type="pct"/>
        <w:tblBorders>
          <w:top w:val="single" w:sz="8" w:space="0" w:color="0EAE9D"/>
          <w:left w:val="single" w:sz="8" w:space="0" w:color="0EAE9D"/>
          <w:bottom w:val="single" w:sz="8" w:space="0" w:color="0EAE9D"/>
          <w:right w:val="single" w:sz="8" w:space="0" w:color="0EAE9D"/>
          <w:insideH w:val="single" w:sz="8" w:space="0" w:color="0EAE9D"/>
          <w:insideV w:val="single" w:sz="8" w:space="0" w:color="0EAE9D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6C376F" w:rsidRPr="00D115AD" w14:paraId="41E6D45B" w14:textId="77777777" w:rsidTr="007717F3">
        <w:trPr>
          <w:trHeight w:val="400"/>
          <w:tblHeader/>
        </w:trPr>
        <w:tc>
          <w:tcPr>
            <w:tcW w:w="5000" w:type="pct"/>
            <w:gridSpan w:val="3"/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6A47" w14:textId="77777777" w:rsidR="006C376F" w:rsidRPr="00D115AD" w:rsidRDefault="006C376F" w:rsidP="00E02C59">
            <w:pPr>
              <w:pStyle w:val="TableHeade"/>
            </w:pPr>
            <w:r w:rsidRPr="00D115AD">
              <w:t xml:space="preserve">3.4 What was </w:t>
            </w:r>
            <w:proofErr w:type="gramStart"/>
            <w:r w:rsidRPr="00D115AD">
              <w:t>life like</w:t>
            </w:r>
            <w:proofErr w:type="gramEnd"/>
            <w:r w:rsidRPr="00D115AD">
              <w:t xml:space="preserve"> for Gypsy and Traveller people in welfare state Britain? </w:t>
            </w:r>
          </w:p>
          <w:p w14:paraId="1C4FF140" w14:textId="77777777" w:rsidR="006C376F" w:rsidRPr="00D115AD" w:rsidRDefault="006C376F" w:rsidP="00E02C59">
            <w:pPr>
              <w:pStyle w:val="TableSubhead"/>
            </w:pPr>
            <w:r w:rsidRPr="00D115AD">
              <w:t>Pages 54–57</w:t>
            </w:r>
          </w:p>
        </w:tc>
      </w:tr>
      <w:tr w:rsidR="006C376F" w:rsidRPr="00D115AD" w14:paraId="5F4D77BC" w14:textId="77777777" w:rsidTr="007717F3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7210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 xml:space="preserve">Big question: </w:t>
            </w:r>
          </w:p>
          <w:p w14:paraId="34BDA2D6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What was 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life like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for Gypsy and Traveller people in welfare state Britain? 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A91B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689067F1" w14:textId="77777777" w:rsidR="006C376F" w:rsidRPr="00D115AD" w:rsidRDefault="006C376F" w:rsidP="00D505E3">
            <w:pPr>
              <w:pStyle w:val="Bullet1"/>
            </w:pPr>
            <w:r w:rsidRPr="00D115AD">
              <w:t>Explain that, while in theory the welfare state provided for everyone, the culture and attitudes of the time meant that GRT people were prejudiced against in a variety of ways and that this took place countrywide.</w:t>
            </w:r>
          </w:p>
          <w:p w14:paraId="06F0816A" w14:textId="77777777" w:rsidR="006C376F" w:rsidRPr="00D115AD" w:rsidRDefault="006C376F" w:rsidP="00D505E3">
            <w:pPr>
              <w:pStyle w:val="Bullet1"/>
            </w:pPr>
            <w:r w:rsidRPr="00D115AD">
              <w:t>Recognise that the prejudice GRT people faced was long-standing.</w:t>
            </w:r>
          </w:p>
          <w:p w14:paraId="53A17275" w14:textId="77777777" w:rsidR="006C376F" w:rsidRPr="00D115AD" w:rsidRDefault="006C376F" w:rsidP="00D505E3">
            <w:pPr>
              <w:pStyle w:val="Bullet1"/>
            </w:pPr>
            <w:r w:rsidRPr="00D115AD">
              <w:t xml:space="preserve">Explain that GRT people </w:t>
            </w:r>
            <w:proofErr w:type="gramStart"/>
            <w:r w:rsidRPr="00D115AD">
              <w:t>actually faced</w:t>
            </w:r>
            <w:proofErr w:type="gramEnd"/>
            <w:r w:rsidRPr="00D115AD">
              <w:t xml:space="preserve"> greater prejudice and intolerance in the post-war period as there was greater social pressure to conform to what others perceived as an acceptable way of life. </w:t>
            </w:r>
          </w:p>
          <w:p w14:paraId="73B0E01F" w14:textId="77777777" w:rsidR="006C376F" w:rsidRPr="00D115AD" w:rsidRDefault="006C376F" w:rsidP="00D505E3">
            <w:pPr>
              <w:pStyle w:val="Bullet1"/>
            </w:pPr>
            <w:r w:rsidRPr="00D115AD">
              <w:t xml:space="preserve">Explain that greater state intervention in people’s lives was accompanied by more judgement about their lives. </w:t>
            </w:r>
          </w:p>
          <w:p w14:paraId="6392FB7F" w14:textId="77777777" w:rsidR="006C376F" w:rsidRPr="00D115AD" w:rsidRDefault="006C376F" w:rsidP="00D505E3">
            <w:pPr>
              <w:pStyle w:val="Bullet1"/>
            </w:pPr>
            <w:r w:rsidRPr="00D115AD">
              <w:t xml:space="preserve">Recognise that it can be hard to trace this history as the government did not collect official data relating to GRT identity.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2941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2B866E98" w14:textId="77777777" w:rsidR="006C376F" w:rsidRPr="00D115AD" w:rsidRDefault="006C376F" w:rsidP="00D505E3">
            <w:pPr>
              <w:pStyle w:val="Bullet1"/>
            </w:pPr>
            <w:r w:rsidRPr="00D115AD">
              <w:t xml:space="preserve">That the post-war welfare state benefited everyone (equally). </w:t>
            </w:r>
          </w:p>
        </w:tc>
      </w:tr>
      <w:tr w:rsidR="006C376F" w:rsidRPr="00D115AD" w14:paraId="62D33583" w14:textId="77777777" w:rsidTr="007717F3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622E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627E545A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can you argue that public opinion was wrong?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54)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F224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253402B5" w14:textId="77777777" w:rsidR="006C376F" w:rsidRPr="00D115AD" w:rsidRDefault="006C376F" w:rsidP="00D505E3">
            <w:pPr>
              <w:pStyle w:val="Bullet1"/>
            </w:pPr>
            <w:r w:rsidRPr="00D115AD">
              <w:t xml:space="preserve">Draw out the lack of quantitative data upon which to draw </w:t>
            </w:r>
            <w:proofErr w:type="gramStart"/>
            <w:r w:rsidRPr="00D115AD">
              <w:t>conclusions, and</w:t>
            </w:r>
            <w:proofErr w:type="gramEnd"/>
            <w:r w:rsidRPr="00D115AD">
              <w:t xml:space="preserve"> give the qualitative example of Henry Sheriff to suggest why generalisation is inaccurate.</w:t>
            </w:r>
          </w:p>
          <w:p w14:paraId="575892FF" w14:textId="77777777" w:rsidR="006C376F" w:rsidRPr="00D115AD" w:rsidRDefault="006C376F" w:rsidP="00D505E3">
            <w:pPr>
              <w:pStyle w:val="Bullet1"/>
            </w:pPr>
            <w:r w:rsidRPr="00D115AD">
              <w:t xml:space="preserve">Suggest that the long-standing prejudices against GRT people were shaping opinion.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3825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7BD2D8C7" w14:textId="77777777" w:rsidR="006C376F" w:rsidRPr="00D115AD" w:rsidRDefault="006C376F" w:rsidP="00D505E3">
            <w:pPr>
              <w:pStyle w:val="Bullet1"/>
            </w:pPr>
            <w:r w:rsidRPr="00D115AD">
              <w:t xml:space="preserve">That Henry Sheriff is an exception. There are other known GRT veterans and others will have served, but not be recognisable from the data as part of the GRT community. </w:t>
            </w:r>
          </w:p>
        </w:tc>
      </w:tr>
    </w:tbl>
    <w:p w14:paraId="38BC7263" w14:textId="77777777" w:rsidR="006C376F" w:rsidRPr="00D115AD" w:rsidRDefault="006C376F">
      <w:pPr>
        <w:rPr>
          <w:rFonts w:ascii="Source Sans Pro" w:eastAsia="Lexend Deca" w:hAnsi="Source Sans Pro" w:cs="Lexend Deca"/>
        </w:rPr>
      </w:pPr>
    </w:p>
    <w:tbl>
      <w:tblPr>
        <w:tblW w:w="5000" w:type="pct"/>
        <w:tblBorders>
          <w:top w:val="single" w:sz="8" w:space="0" w:color="0EAE9D"/>
          <w:left w:val="single" w:sz="8" w:space="0" w:color="0EAE9D"/>
          <w:bottom w:val="single" w:sz="8" w:space="0" w:color="0EAE9D"/>
          <w:right w:val="single" w:sz="8" w:space="0" w:color="0EAE9D"/>
          <w:insideH w:val="single" w:sz="8" w:space="0" w:color="0EAE9D"/>
          <w:insideV w:val="single" w:sz="8" w:space="0" w:color="0EAE9D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6C376F" w:rsidRPr="00D115AD" w14:paraId="07BC90A8" w14:textId="77777777" w:rsidTr="00162378">
        <w:trPr>
          <w:trHeight w:val="400"/>
          <w:tblHeader/>
        </w:trPr>
        <w:tc>
          <w:tcPr>
            <w:tcW w:w="5000" w:type="pct"/>
            <w:gridSpan w:val="3"/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761D" w14:textId="77777777" w:rsidR="006C376F" w:rsidRPr="00D115AD" w:rsidRDefault="006C376F" w:rsidP="00E02C59">
            <w:pPr>
              <w:pStyle w:val="TableHeade"/>
            </w:pPr>
            <w:r w:rsidRPr="00D115AD">
              <w:t xml:space="preserve">3.5 How was it hard to be different in Britain in the post-war years? </w:t>
            </w:r>
          </w:p>
          <w:p w14:paraId="46961BFD" w14:textId="77777777" w:rsidR="006C376F" w:rsidRPr="00D115AD" w:rsidRDefault="006C376F" w:rsidP="00E02C59">
            <w:pPr>
              <w:pStyle w:val="TableSubhead"/>
            </w:pPr>
            <w:r w:rsidRPr="00D115AD">
              <w:t>Pages 58–61</w:t>
            </w:r>
          </w:p>
        </w:tc>
      </w:tr>
      <w:tr w:rsidR="006C376F" w:rsidRPr="00D115AD" w14:paraId="735D9339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250A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 xml:space="preserve">Big question: </w:t>
            </w:r>
          </w:p>
          <w:p w14:paraId="4EC7F0AF" w14:textId="77777777" w:rsidR="006C376F" w:rsidRPr="00D115AD" w:rsidRDefault="006C376F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How was it hard to be different in Britain in the post-war years? 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53AC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4EBBCF1E" w14:textId="77777777" w:rsidR="006C376F" w:rsidRPr="00D115AD" w:rsidRDefault="006C376F" w:rsidP="00D505E3">
            <w:pPr>
              <w:pStyle w:val="Bullet1"/>
            </w:pPr>
            <w:r w:rsidRPr="00D115AD">
              <w:t>Use evidence from the case histories presented and evaluate the problems faced by different groups.</w:t>
            </w:r>
          </w:p>
          <w:p w14:paraId="16057F61" w14:textId="77777777" w:rsidR="006C376F" w:rsidRPr="00D115AD" w:rsidRDefault="006C376F" w:rsidP="00D505E3">
            <w:pPr>
              <w:pStyle w:val="Bullet1"/>
            </w:pPr>
            <w:r w:rsidRPr="00D115AD">
              <w:t xml:space="preserve">Understand that the welfare state was set up to meet the needs of white, heterosexual, settled, employed people. This </w:t>
            </w:r>
            <w:proofErr w:type="gramStart"/>
            <w:r w:rsidRPr="00D115AD">
              <w:t>was considered to be</w:t>
            </w:r>
            <w:proofErr w:type="gramEnd"/>
            <w:r w:rsidRPr="00D115AD">
              <w:t xml:space="preserve"> the norm and people who lived differently were told how they should live by those in power.</w:t>
            </w:r>
          </w:p>
          <w:p w14:paraId="6BF458AB" w14:textId="77777777" w:rsidR="006C376F" w:rsidRPr="00D115AD" w:rsidRDefault="006C376F" w:rsidP="00D505E3">
            <w:pPr>
              <w:pStyle w:val="Bullet1"/>
            </w:pPr>
            <w:r w:rsidRPr="00D115AD">
              <w:lastRenderedPageBreak/>
              <w:t xml:space="preserve">Identify the common threat of arrest and need for secrecy that affected gay men. </w:t>
            </w:r>
          </w:p>
          <w:p w14:paraId="17FA8D50" w14:textId="77777777" w:rsidR="006C376F" w:rsidRPr="00D115AD" w:rsidRDefault="006C376F" w:rsidP="00D505E3">
            <w:pPr>
              <w:pStyle w:val="Bullet1"/>
            </w:pPr>
            <w:r w:rsidRPr="00D115AD">
              <w:t xml:space="preserve">Identify that men had to find secret places to meet and risk losing friends and family if they sought support. </w:t>
            </w:r>
          </w:p>
          <w:p w14:paraId="020BECD7" w14:textId="77777777" w:rsidR="006C376F" w:rsidRPr="00D115AD" w:rsidRDefault="006C376F" w:rsidP="00D505E3">
            <w:pPr>
              <w:pStyle w:val="Bullet1"/>
            </w:pPr>
            <w:r w:rsidRPr="00D115AD">
              <w:t>Mention the context of the Cold War and increasing paranoia about difference, including suspecting gay men of being traitors and the uptick in prosecutions.</w:t>
            </w:r>
          </w:p>
          <w:p w14:paraId="1E899F1E" w14:textId="77777777" w:rsidR="006C376F" w:rsidRPr="00D115AD" w:rsidRDefault="006C376F" w:rsidP="00D505E3">
            <w:pPr>
              <w:pStyle w:val="Bullet1"/>
            </w:pPr>
            <w:r w:rsidRPr="00D115AD">
              <w:t xml:space="preserve">Discuss the prevailing idea of ‘normality’ only applying to heterosexual people. </w:t>
            </w:r>
          </w:p>
          <w:p w14:paraId="20A9FF6B" w14:textId="77777777" w:rsidR="006C376F" w:rsidRPr="00D115AD" w:rsidRDefault="006C376F" w:rsidP="00D505E3">
            <w:pPr>
              <w:pStyle w:val="Bullet1"/>
            </w:pPr>
            <w:r w:rsidRPr="00D115AD">
              <w:t xml:space="preserve">Identify changing attitudes as the 1950s ended and increasing support for a change in the law that criminalised male homosexuality. </w:t>
            </w:r>
          </w:p>
          <w:p w14:paraId="34B87B39" w14:textId="77777777" w:rsidR="006C376F" w:rsidRPr="00D115AD" w:rsidRDefault="006C376F" w:rsidP="00D505E3">
            <w:pPr>
              <w:pStyle w:val="Bullet1"/>
            </w:pPr>
            <w:r w:rsidRPr="00D115AD">
              <w:t xml:space="preserve">Show an understanding that children who were being given medical treatment were deprived of home lives and treated differently from other children. </w:t>
            </w:r>
          </w:p>
          <w:p w14:paraId="245BFAE6" w14:textId="77777777" w:rsidR="006C376F" w:rsidRPr="00D115AD" w:rsidRDefault="006C376F" w:rsidP="00D505E3">
            <w:pPr>
              <w:pStyle w:val="Bullet1"/>
            </w:pPr>
            <w:r w:rsidRPr="00D115AD">
              <w:t xml:space="preserve">Recognise that children with physical disabilities were often assumed, wrongly, to be unable to cope with academic </w:t>
            </w:r>
            <w:proofErr w:type="gramStart"/>
            <w:r w:rsidRPr="00D115AD">
              <w:t>school work</w:t>
            </w:r>
            <w:proofErr w:type="gramEnd"/>
            <w:r w:rsidRPr="00D115AD">
              <w:t xml:space="preserve">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FE14" w14:textId="77777777" w:rsidR="006C376F" w:rsidRPr="00D115AD" w:rsidRDefault="006C376F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Misconceptions to avoid:</w:t>
            </w:r>
          </w:p>
          <w:p w14:paraId="75842BC4" w14:textId="77777777" w:rsidR="006C376F" w:rsidRPr="00D115AD" w:rsidRDefault="006C376F" w:rsidP="007717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That John Alcock and Brian Epstein’s stories reflect the experience of all gay and bisexual men in this period. </w:t>
            </w:r>
          </w:p>
          <w:p w14:paraId="6A8FEA9F" w14:textId="77777777" w:rsidR="006C376F" w:rsidRPr="00D115AD" w:rsidRDefault="006C376F" w:rsidP="007717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That Brian Epstein’s story shows that things were improving for all gay and bisexual men by the start of the 1960s. </w:t>
            </w:r>
          </w:p>
          <w:p w14:paraId="2E28CFAC" w14:textId="77777777" w:rsidR="006C376F" w:rsidRPr="00D115AD" w:rsidRDefault="006C376F" w:rsidP="007717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That the defection of the British spies was 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actually to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do with their sexuality rather than their beliefs. </w:t>
            </w:r>
          </w:p>
          <w:p w14:paraId="6EB3C143" w14:textId="77777777" w:rsidR="006C376F" w:rsidRPr="00D115AD" w:rsidRDefault="006C376F" w:rsidP="007717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 xml:space="preserve">That support for changing the law that </w:t>
            </w:r>
            <w:r w:rsidRPr="00D115AD">
              <w:rPr>
                <w:rFonts w:ascii="Source Sans Pro" w:eastAsia="Lexend Deca" w:hAnsi="Source Sans Pro" w:cstheme="majorHAnsi"/>
              </w:rPr>
              <w:lastRenderedPageBreak/>
              <w:t xml:space="preserve">criminalised gay men necessarily meant that people were becoming more accepting of homosexuality. </w:t>
            </w:r>
          </w:p>
          <w:p w14:paraId="010A27FF" w14:textId="77777777" w:rsidR="006C376F" w:rsidRPr="00D115AD" w:rsidRDefault="006C376F" w:rsidP="007717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That special schools always gave a ‘better’ education.</w:t>
            </w:r>
          </w:p>
          <w:p w14:paraId="7DAD1077" w14:textId="77777777" w:rsidR="006C376F" w:rsidRPr="00D115AD" w:rsidRDefault="006C376F" w:rsidP="007717F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That the treatment of disabled children aimed to be cruel. Medical professionals at the time believed they were offering advanced, specialised treatment.</w:t>
            </w:r>
          </w:p>
        </w:tc>
      </w:tr>
    </w:tbl>
    <w:p w14:paraId="37F97371" w14:textId="77777777" w:rsidR="006C376F" w:rsidRPr="00D115AD" w:rsidRDefault="006C376F">
      <w:pPr>
        <w:rPr>
          <w:rFonts w:ascii="Source Sans Pro" w:eastAsia="Lexend Deca" w:hAnsi="Source Sans Pro" w:cs="Lexend Deca"/>
        </w:rPr>
      </w:pPr>
    </w:p>
    <w:tbl>
      <w:tblPr>
        <w:tblW w:w="5000" w:type="pct"/>
        <w:tblBorders>
          <w:top w:val="single" w:sz="8" w:space="0" w:color="0EAE9D"/>
          <w:left w:val="single" w:sz="8" w:space="0" w:color="0EAE9D"/>
          <w:bottom w:val="single" w:sz="8" w:space="0" w:color="0EAE9D"/>
          <w:right w:val="single" w:sz="8" w:space="0" w:color="0EAE9D"/>
          <w:insideH w:val="single" w:sz="8" w:space="0" w:color="0EAE9D"/>
          <w:insideV w:val="single" w:sz="8" w:space="0" w:color="0EAE9D"/>
        </w:tblBorders>
        <w:tblLook w:val="0600" w:firstRow="0" w:lastRow="0" w:firstColumn="0" w:lastColumn="0" w:noHBand="1" w:noVBand="1"/>
      </w:tblPr>
      <w:tblGrid>
        <w:gridCol w:w="2680"/>
        <w:gridCol w:w="4515"/>
        <w:gridCol w:w="3585"/>
      </w:tblGrid>
      <w:tr w:rsidR="00D115AD" w:rsidRPr="00D115AD" w14:paraId="4293D7CD" w14:textId="77777777" w:rsidTr="00162378">
        <w:trPr>
          <w:trHeight w:val="400"/>
          <w:tblHeader/>
        </w:trPr>
        <w:tc>
          <w:tcPr>
            <w:tcW w:w="5000" w:type="pct"/>
            <w:gridSpan w:val="3"/>
            <w:shd w:val="clear" w:color="auto" w:fill="0B83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C11C" w14:textId="77777777" w:rsidR="00D115AD" w:rsidRPr="00D115AD" w:rsidRDefault="00D115AD" w:rsidP="00E02C59">
            <w:pPr>
              <w:pStyle w:val="TableHeade"/>
            </w:pPr>
            <w:r w:rsidRPr="00D115AD">
              <w:t xml:space="preserve">4.2 How did people struggle for change in 1960s and 1970s Britain? </w:t>
            </w:r>
          </w:p>
          <w:p w14:paraId="02D50E57" w14:textId="77777777" w:rsidR="00D115AD" w:rsidRPr="00D115AD" w:rsidRDefault="00D115AD" w:rsidP="00E02C59">
            <w:pPr>
              <w:pStyle w:val="TableSubhead"/>
            </w:pPr>
            <w:r w:rsidRPr="00D115AD">
              <w:t>Pages 70–75</w:t>
            </w:r>
          </w:p>
        </w:tc>
      </w:tr>
      <w:tr w:rsidR="00D115AD" w:rsidRPr="00D115AD" w14:paraId="56D152E4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AB628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Big question:</w:t>
            </w:r>
            <w:r w:rsidRPr="00D115AD">
              <w:rPr>
                <w:rFonts w:ascii="Source Sans Pro" w:hAnsi="Source Sans Pro"/>
              </w:rPr>
              <w:t xml:space="preserve"> </w:t>
            </w:r>
          </w:p>
          <w:p w14:paraId="6981F814" w14:textId="39638726" w:rsidR="00D115AD" w:rsidRPr="00D115AD" w:rsidRDefault="00D115AD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lastRenderedPageBreak/>
              <w:t xml:space="preserve">How did people struggle for change in 1960s and 1970s Britain? 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1286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A strong answer will:</w:t>
            </w:r>
          </w:p>
          <w:p w14:paraId="222E70CE" w14:textId="77777777" w:rsidR="00D115AD" w:rsidRPr="00D115AD" w:rsidRDefault="00D115AD" w:rsidP="00D505E3">
            <w:pPr>
              <w:pStyle w:val="Bullet1"/>
            </w:pPr>
            <w:r w:rsidRPr="00D115AD">
              <w:lastRenderedPageBreak/>
              <w:t xml:space="preserve">Draw evidence from across the examples in the book. </w:t>
            </w:r>
          </w:p>
          <w:p w14:paraId="6AAA454E" w14:textId="77777777" w:rsidR="00D115AD" w:rsidRPr="00D115AD" w:rsidRDefault="00D115AD" w:rsidP="00D505E3">
            <w:pPr>
              <w:pStyle w:val="Bullet1"/>
            </w:pPr>
            <w:r w:rsidRPr="00D115AD">
              <w:t xml:space="preserve">Recognise the examples given show that people were influenced by the factors given in 4.1, and that they were influenced in different ways and to different degrees. </w:t>
            </w:r>
          </w:p>
          <w:p w14:paraId="2131C390" w14:textId="77777777" w:rsidR="00D115AD" w:rsidRPr="00D115AD" w:rsidRDefault="00D115AD" w:rsidP="00D505E3">
            <w:pPr>
              <w:pStyle w:val="Bullet1"/>
            </w:pPr>
            <w:r w:rsidRPr="00D115AD">
              <w:t xml:space="preserve">Recognise the resilience and determination that protesters and campaigners shared as a common trait. </w:t>
            </w:r>
          </w:p>
          <w:p w14:paraId="0D283951" w14:textId="77777777" w:rsidR="00D115AD" w:rsidRPr="00D115AD" w:rsidRDefault="00D115AD" w:rsidP="00D505E3">
            <w:pPr>
              <w:pStyle w:val="Bullet1"/>
            </w:pPr>
            <w:r w:rsidRPr="00D115AD">
              <w:t>Show an understanding that campaign groups worked hard to raise awareness with the public of the issues people faced.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8F46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Misconceptions to avoid:</w:t>
            </w:r>
          </w:p>
          <w:p w14:paraId="312448C5" w14:textId="77777777" w:rsidR="00D115AD" w:rsidRPr="00D115AD" w:rsidRDefault="00D115AD" w:rsidP="00D505E3">
            <w:pPr>
              <w:pStyle w:val="Bullet1"/>
            </w:pPr>
            <w:r w:rsidRPr="00D115AD">
              <w:lastRenderedPageBreak/>
              <w:t>That improvement in the rights of GRT, LGBTQ+ and disabled people were immediate.</w:t>
            </w:r>
          </w:p>
          <w:p w14:paraId="58088D53" w14:textId="77777777" w:rsidR="00D115AD" w:rsidRPr="00D115AD" w:rsidRDefault="00D115AD" w:rsidP="00D505E3">
            <w:pPr>
              <w:pStyle w:val="Bullet1"/>
            </w:pPr>
            <w:r w:rsidRPr="00D115AD">
              <w:t>That law change brought about an immediate change in attitudes.</w:t>
            </w:r>
          </w:p>
          <w:p w14:paraId="5B22883C" w14:textId="77777777" w:rsidR="00D115AD" w:rsidRPr="00D115AD" w:rsidRDefault="00D115AD" w:rsidP="00EB44CF">
            <w:pPr>
              <w:widowControl w:val="0"/>
              <w:spacing w:line="240" w:lineRule="auto"/>
              <w:ind w:left="720"/>
              <w:rPr>
                <w:rFonts w:ascii="Source Sans Pro" w:eastAsia="Lexend Deca" w:hAnsi="Source Sans Pro" w:cstheme="majorHAnsi"/>
              </w:rPr>
            </w:pPr>
          </w:p>
        </w:tc>
      </w:tr>
      <w:tr w:rsidR="00D115AD" w:rsidRPr="00D115AD" w14:paraId="52FA4C03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E0A7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 xml:space="preserve">Little question: </w:t>
            </w:r>
          </w:p>
          <w:p w14:paraId="5A6828C1" w14:textId="77777777" w:rsidR="00D115AD" w:rsidRPr="00D115AD" w:rsidRDefault="00D115AD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sort of protest did Ernest make?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70)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055E4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671C0D9A" w14:textId="77777777" w:rsidR="00D115AD" w:rsidRPr="00D115AD" w:rsidRDefault="00D115AD" w:rsidP="00D505E3">
            <w:pPr>
              <w:pStyle w:val="Bullet1"/>
            </w:pPr>
            <w:r w:rsidRPr="00D115AD">
              <w:t xml:space="preserve">Recognise that this was strong passive resistance to assert identity.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BDDD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2D7A96DC" w14:textId="77777777" w:rsidR="00D115AD" w:rsidRPr="00D115AD" w:rsidRDefault="00D115AD" w:rsidP="00D505E3">
            <w:pPr>
              <w:pStyle w:val="Bullet1"/>
            </w:pPr>
            <w:r w:rsidRPr="00D115AD">
              <w:t xml:space="preserve">That passive resistance is ineffective. Ernest made a stand and then stopped complying with the Council when they would not meet his ‘red line’ – keeping his pony. </w:t>
            </w:r>
          </w:p>
        </w:tc>
      </w:tr>
      <w:tr w:rsidR="00D115AD" w:rsidRPr="00D115AD" w14:paraId="7B6BDEDC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03FA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10FC7573" w14:textId="77777777" w:rsidR="00D115AD" w:rsidRPr="00D115AD" w:rsidRDefault="00D115AD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did Paul work for independence for disabled people?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71)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7845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 xml:space="preserve">A strong answer will: </w:t>
            </w:r>
          </w:p>
          <w:p w14:paraId="6B3CD172" w14:textId="77777777" w:rsidR="00D115AD" w:rsidRPr="00D115AD" w:rsidRDefault="00D115AD" w:rsidP="00D505E3">
            <w:pPr>
              <w:pStyle w:val="Bullet1"/>
            </w:pPr>
            <w:r w:rsidRPr="00D115AD">
              <w:t xml:space="preserve">Appreciate how Paul was inspired by the methods of the US civil rights movement to change his own situation and that of his fellow residents. </w:t>
            </w:r>
          </w:p>
          <w:p w14:paraId="173BEF36" w14:textId="77777777" w:rsidR="00D115AD" w:rsidRPr="00D115AD" w:rsidRDefault="00D115AD" w:rsidP="00D505E3">
            <w:pPr>
              <w:pStyle w:val="Bullet1"/>
            </w:pPr>
            <w:r w:rsidRPr="00D115AD">
              <w:t xml:space="preserve">Explain how he was a leader who worked with other people. </w:t>
            </w:r>
          </w:p>
          <w:p w14:paraId="7154BA90" w14:textId="77777777" w:rsidR="00D115AD" w:rsidRPr="00D115AD" w:rsidRDefault="00D115AD" w:rsidP="00D505E3">
            <w:pPr>
              <w:pStyle w:val="Bullet1"/>
            </w:pPr>
            <w:r w:rsidRPr="00D115AD">
              <w:lastRenderedPageBreak/>
              <w:t xml:space="preserve">Show an understanding of how UPIAS shows that Paul extended his work to include disabled people that he did not know. 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1F3F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lastRenderedPageBreak/>
              <w:t>Misconceptions to avoid:</w:t>
            </w:r>
          </w:p>
          <w:p w14:paraId="66699451" w14:textId="77777777" w:rsidR="00D115AD" w:rsidRPr="00D115AD" w:rsidRDefault="00D115AD" w:rsidP="00D505E3">
            <w:pPr>
              <w:pStyle w:val="Bullet1"/>
            </w:pPr>
            <w:r w:rsidRPr="00D115AD">
              <w:t xml:space="preserve">That life changed quickly for all people in residential care. </w:t>
            </w:r>
          </w:p>
        </w:tc>
      </w:tr>
      <w:tr w:rsidR="00D115AD" w:rsidRPr="00D115AD" w14:paraId="4797FF51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8C4A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777FE226" w14:textId="77777777" w:rsidR="00D115AD" w:rsidRPr="00D115AD" w:rsidRDefault="00D115AD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What opposition did the Headscarf Revolutionaries overcome to achieve their aims?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72) 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C1F9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11050BCE" w14:textId="77777777" w:rsidR="00D115AD" w:rsidRPr="00D115AD" w:rsidRDefault="00D115AD" w:rsidP="00D505E3">
            <w:pPr>
              <w:pStyle w:val="Bullet1"/>
            </w:pPr>
            <w:r w:rsidRPr="00D115AD">
              <w:t xml:space="preserve">Recognise that the women had to resist the norms of the community in which they grew up to then practically organise and fund a campaign to achieve their aims. </w:t>
            </w:r>
          </w:p>
          <w:p w14:paraId="09A2A6F9" w14:textId="77777777" w:rsidR="00D115AD" w:rsidRPr="00D115AD" w:rsidRDefault="00D115AD" w:rsidP="00D505E3">
            <w:pPr>
              <w:pStyle w:val="Bullet1"/>
            </w:pPr>
            <w:r w:rsidRPr="00D115AD">
              <w:t xml:space="preserve">Recognise the solidarity among the women.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C4404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65FA1F84" w14:textId="77777777" w:rsidR="00D115AD" w:rsidRPr="00D115AD" w:rsidRDefault="00D115AD" w:rsidP="00D505E3">
            <w:pPr>
              <w:pStyle w:val="Bullet1"/>
            </w:pPr>
            <w:r w:rsidRPr="00D115AD">
              <w:t xml:space="preserve">Lillian was not regarded as a hero by her community. Some people shunned her, she died in obscurity and her story was only rediscovered after her death. </w:t>
            </w:r>
          </w:p>
        </w:tc>
      </w:tr>
      <w:tr w:rsidR="00D115AD" w:rsidRPr="00D115AD" w14:paraId="090B5419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A3A3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57D47C8E" w14:textId="77777777" w:rsidR="00D115AD" w:rsidRPr="00D115AD" w:rsidRDefault="00D115AD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did the Gypsy Council organise their campaign?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73)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3359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61AD960D" w14:textId="77777777" w:rsidR="00D115AD" w:rsidRPr="00D115AD" w:rsidRDefault="00D115AD" w:rsidP="00D505E3">
            <w:pPr>
              <w:pStyle w:val="Bullet1"/>
            </w:pPr>
            <w:r w:rsidRPr="00D115AD">
              <w:t xml:space="preserve">Draw out the courage required to meet on hostile ground. </w:t>
            </w:r>
          </w:p>
          <w:p w14:paraId="5B625DD1" w14:textId="77777777" w:rsidR="00D115AD" w:rsidRPr="00D115AD" w:rsidRDefault="00D115AD" w:rsidP="00D505E3">
            <w:pPr>
              <w:pStyle w:val="Bullet1"/>
            </w:pPr>
            <w:r w:rsidRPr="00D115AD">
              <w:t xml:space="preserve">Make a connection with, for example, the US civil rights movement. </w:t>
            </w:r>
          </w:p>
          <w:p w14:paraId="67B606BF" w14:textId="77777777" w:rsidR="00D115AD" w:rsidRPr="00D115AD" w:rsidRDefault="00D115AD" w:rsidP="00D505E3">
            <w:pPr>
              <w:pStyle w:val="Bullet1"/>
            </w:pPr>
            <w:r w:rsidRPr="00D115AD">
              <w:t xml:space="preserve">Identify the strong unifying statement, internationalism and dispersed local leadership.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B5D6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6DA5B485" w14:textId="77777777" w:rsidR="00D115AD" w:rsidRPr="00D115AD" w:rsidRDefault="00D115AD" w:rsidP="00D505E3">
            <w:pPr>
              <w:pStyle w:val="Bullet1"/>
            </w:pPr>
            <w:r w:rsidRPr="00D115AD">
              <w:t xml:space="preserve">That the process of gaining rights happened at the same time for each group in the book and that the process was linear and always heading in a positive direction. </w:t>
            </w:r>
          </w:p>
        </w:tc>
      </w:tr>
      <w:tr w:rsidR="00D115AD" w:rsidRPr="00D115AD" w14:paraId="6F41AAD8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E747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Little question:</w:t>
            </w:r>
          </w:p>
          <w:p w14:paraId="01A63802" w14:textId="77777777" w:rsidR="00D115AD" w:rsidRPr="00D115AD" w:rsidRDefault="00D115AD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t>How did the members of the MPU gain publicity for their cause?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74)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5474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A strong answer will:</w:t>
            </w:r>
          </w:p>
          <w:p w14:paraId="2717DB08" w14:textId="77777777" w:rsidR="00D115AD" w:rsidRPr="00D115AD" w:rsidRDefault="00D115AD" w:rsidP="00D505E3">
            <w:pPr>
              <w:pStyle w:val="Bullet1"/>
            </w:pPr>
            <w:r w:rsidRPr="00D115AD">
              <w:t>Understand the importance of a voice for mentally ill people on a flagship BBC programme.</w:t>
            </w:r>
          </w:p>
          <w:p w14:paraId="593A8EA2" w14:textId="77777777" w:rsidR="00D115AD" w:rsidRPr="00D115AD" w:rsidRDefault="00D115AD" w:rsidP="00D505E3">
            <w:pPr>
              <w:pStyle w:val="Bullet1"/>
            </w:pPr>
            <w:r w:rsidRPr="00D115AD">
              <w:t xml:space="preserve">Recognise that publishing demands started discussion and debate that changed minds.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B6B1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>Misconceptions to avoid:</w:t>
            </w:r>
          </w:p>
          <w:p w14:paraId="363375F9" w14:textId="77777777" w:rsidR="00D115AD" w:rsidRPr="00D115AD" w:rsidRDefault="00D115AD" w:rsidP="00D505E3">
            <w:pPr>
              <w:pStyle w:val="Bullet1"/>
            </w:pPr>
            <w:r w:rsidRPr="00D115AD">
              <w:t>That mental health issues were as ‘talked about’ as they are today.</w:t>
            </w:r>
          </w:p>
        </w:tc>
      </w:tr>
      <w:tr w:rsidR="00D115AD" w:rsidRPr="00D115AD" w14:paraId="3C180AFE" w14:textId="77777777" w:rsidTr="00E02C59">
        <w:tc>
          <w:tcPr>
            <w:tcW w:w="12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150F" w14:textId="77777777" w:rsidR="00D115AD" w:rsidRPr="00D115AD" w:rsidRDefault="00D115AD" w:rsidP="00A703A6">
            <w:pPr>
              <w:pStyle w:val="TableEmphasis"/>
            </w:pPr>
            <w:r w:rsidRPr="00D115AD">
              <w:rPr>
                <w:rFonts w:ascii="Source Sans Pro" w:hAnsi="Source Sans Pro"/>
                <w:b/>
              </w:rPr>
              <w:t xml:space="preserve">Little question: </w:t>
            </w:r>
          </w:p>
          <w:p w14:paraId="5FE8AC33" w14:textId="77777777" w:rsidR="00D115AD" w:rsidRPr="00D115AD" w:rsidRDefault="00D115AD" w:rsidP="00EB44CF">
            <w:pPr>
              <w:widowControl w:val="0"/>
              <w:spacing w:line="240" w:lineRule="auto"/>
              <w:rPr>
                <w:rFonts w:ascii="Source Sans Pro" w:eastAsia="Lexend Deca" w:hAnsi="Source Sans Pro" w:cstheme="majorHAnsi"/>
              </w:rPr>
            </w:pPr>
            <w:r w:rsidRPr="00D115AD">
              <w:rPr>
                <w:rFonts w:ascii="Source Sans Pro" w:eastAsia="Lexend Deca" w:hAnsi="Source Sans Pro" w:cstheme="majorHAnsi"/>
              </w:rPr>
              <w:lastRenderedPageBreak/>
              <w:t>What motivated the women of the Brixton group? (</w:t>
            </w:r>
            <w:proofErr w:type="gramStart"/>
            <w:r w:rsidRPr="00D115AD">
              <w:rPr>
                <w:rFonts w:ascii="Source Sans Pro" w:eastAsia="Lexend Deca" w:hAnsi="Source Sans Pro" w:cstheme="majorHAnsi"/>
              </w:rPr>
              <w:t>page</w:t>
            </w:r>
            <w:proofErr w:type="gramEnd"/>
            <w:r w:rsidRPr="00D115AD">
              <w:rPr>
                <w:rFonts w:ascii="Source Sans Pro" w:eastAsia="Lexend Deca" w:hAnsi="Source Sans Pro" w:cstheme="majorHAnsi"/>
              </w:rPr>
              <w:t xml:space="preserve"> 75)</w:t>
            </w:r>
          </w:p>
        </w:tc>
        <w:tc>
          <w:tcPr>
            <w:tcW w:w="20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12DD" w14:textId="77777777" w:rsidR="00D115AD" w:rsidRPr="00D115AD" w:rsidRDefault="00D115AD" w:rsidP="00D505E3">
            <w:pPr>
              <w:pStyle w:val="Bullet1"/>
            </w:pPr>
            <w:r w:rsidRPr="00D115AD">
              <w:lastRenderedPageBreak/>
              <w:t>A strong answer will:</w:t>
            </w:r>
          </w:p>
          <w:p w14:paraId="6897AF87" w14:textId="77777777" w:rsidR="00D115AD" w:rsidRPr="00D115AD" w:rsidRDefault="00D115AD" w:rsidP="00D505E3">
            <w:pPr>
              <w:pStyle w:val="Bullet1"/>
            </w:pPr>
            <w:r w:rsidRPr="00D115AD">
              <w:lastRenderedPageBreak/>
              <w:t xml:space="preserve">Recognise the intersectional nature of this campaign – as women and as Black people. </w:t>
            </w:r>
          </w:p>
        </w:tc>
        <w:tc>
          <w:tcPr>
            <w:tcW w:w="1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C901" w14:textId="77777777" w:rsidR="00D115AD" w:rsidRPr="00D115AD" w:rsidRDefault="00D115AD" w:rsidP="00D505E3">
            <w:pPr>
              <w:pStyle w:val="Bullet1"/>
            </w:pPr>
            <w:r w:rsidRPr="00D115AD">
              <w:lastRenderedPageBreak/>
              <w:t>Misconceptions to avoid:</w:t>
            </w:r>
          </w:p>
          <w:p w14:paraId="106CE19D" w14:textId="77777777" w:rsidR="00D115AD" w:rsidRPr="00D115AD" w:rsidRDefault="00D115AD" w:rsidP="00D505E3">
            <w:pPr>
              <w:pStyle w:val="Bullet1"/>
            </w:pPr>
            <w:r w:rsidRPr="00D115AD">
              <w:lastRenderedPageBreak/>
              <w:t xml:space="preserve">That women can be spoken of as a homogenous group. </w:t>
            </w:r>
          </w:p>
        </w:tc>
      </w:tr>
    </w:tbl>
    <w:p w14:paraId="61586F75" w14:textId="77777777" w:rsidR="00D115AD" w:rsidRPr="00D115AD" w:rsidRDefault="00D115AD" w:rsidP="00D115AD">
      <w:pPr>
        <w:rPr>
          <w:rFonts w:ascii="Source Sans Pro" w:eastAsia="Lexend Deca" w:hAnsi="Source Sans Pro" w:cs="Lexend Deca"/>
        </w:rPr>
      </w:pPr>
    </w:p>
    <w:sectPr w:rsidR="00D115AD" w:rsidRPr="00D115AD" w:rsidSect="00B51B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552" w:right="720" w:bottom="720" w:left="720" w:header="567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therine Taylor" w:date="2023-05-23T17:40:00Z" w:initials="CT">
    <w:p w14:paraId="6918F70D" w14:textId="77777777" w:rsidR="008C21BB" w:rsidRDefault="008C21BB" w:rsidP="008C21BB">
      <w:pPr>
        <w:pStyle w:val="CommentText"/>
      </w:pPr>
      <w:r>
        <w:rPr>
          <w:rStyle w:val="CommentReference"/>
        </w:rPr>
        <w:annotationRef/>
      </w:r>
      <w:r>
        <w:t>QUERY: Does this mean the knowledge they need to answer the question?</w:t>
      </w:r>
    </w:p>
  </w:comment>
  <w:comment w:id="1" w:author="Catherine Taylor" w:date="2023-05-23T16:00:00Z" w:initials="CT">
    <w:p w14:paraId="7DCA8E9A" w14:textId="77777777" w:rsidR="008C21BB" w:rsidRDefault="008C21BB" w:rsidP="008C21BB">
      <w:pPr>
        <w:pStyle w:val="CommentText"/>
      </w:pPr>
      <w:r>
        <w:rPr>
          <w:rStyle w:val="CommentReference"/>
        </w:rPr>
        <w:annotationRef/>
      </w:r>
      <w:r>
        <w:t>QUERY: via what?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18F70D" w15:done="1"/>
  <w15:commentEx w15:paraId="7DCA8E9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78F5" w16cex:dateUtc="2023-05-23T16:40:00Z"/>
  <w16cex:commentExtensible w16cex:durableId="28176184" w16cex:dateUtc="2023-05-23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18F70D" w16cid:durableId="281778F5"/>
  <w16cid:commentId w16cid:paraId="7DCA8E9A" w16cid:durableId="281761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FAB7" w14:textId="77777777" w:rsidR="00D9502E" w:rsidRDefault="00D9502E" w:rsidP="00F8647F">
      <w:pPr>
        <w:spacing w:line="240" w:lineRule="auto"/>
      </w:pPr>
      <w:r>
        <w:separator/>
      </w:r>
    </w:p>
  </w:endnote>
  <w:endnote w:type="continuationSeparator" w:id="0">
    <w:p w14:paraId="79F7C318" w14:textId="77777777" w:rsidR="00D9502E" w:rsidRDefault="00D9502E" w:rsidP="00F86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exend Dec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55D" w14:textId="77777777" w:rsidR="00B51B36" w:rsidRDefault="00B51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9F13" w14:textId="77777777" w:rsidR="00B51B36" w:rsidRDefault="00B51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F310" w14:textId="77777777" w:rsidR="00B51B36" w:rsidRDefault="00B51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EB3D" w14:textId="77777777" w:rsidR="00D9502E" w:rsidRDefault="00D9502E" w:rsidP="00F8647F">
      <w:pPr>
        <w:spacing w:line="240" w:lineRule="auto"/>
      </w:pPr>
      <w:r>
        <w:separator/>
      </w:r>
    </w:p>
  </w:footnote>
  <w:footnote w:type="continuationSeparator" w:id="0">
    <w:p w14:paraId="44177A7C" w14:textId="77777777" w:rsidR="00D9502E" w:rsidRDefault="00D9502E" w:rsidP="00F864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96AD" w14:textId="77777777" w:rsidR="00B51B36" w:rsidRDefault="00B51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ADF5" w14:textId="53EE3C43" w:rsidR="008C21BB" w:rsidRPr="00994760" w:rsidRDefault="00B51B36" w:rsidP="00884726">
    <w:pPr>
      <w:pStyle w:val="TableHeade"/>
      <w:jc w:val="right"/>
      <w:rPr>
        <w:rFonts w:ascii="Source Sans Pro Black" w:hAnsi="Source Sans Pro Black"/>
        <w:sz w:val="40"/>
        <w:szCs w:val="40"/>
      </w:rPr>
    </w:pPr>
    <w:r w:rsidRPr="00994760">
      <w:rPr>
        <w:rFonts w:ascii="Source Sans Pro Black" w:hAnsi="Source Sans Pro Black"/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3779D8C3" wp14:editId="6DE49337">
          <wp:simplePos x="0" y="0"/>
          <wp:positionH relativeFrom="page">
            <wp:posOffset>-12700</wp:posOffset>
          </wp:positionH>
          <wp:positionV relativeFrom="paragraph">
            <wp:posOffset>-351899</wp:posOffset>
          </wp:positionV>
          <wp:extent cx="3444240" cy="1158240"/>
          <wp:effectExtent l="0" t="0" r="3810" b="0"/>
          <wp:wrapSquare wrapText="bothSides"/>
          <wp:docPr id="729429002" name="Picture 72942900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Picture 1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45" t="38625" r="30972" b="34974"/>
                  <a:stretch/>
                </pic:blipFill>
                <pic:spPr bwMode="auto">
                  <a:xfrm>
                    <a:off x="0" y="0"/>
                    <a:ext cx="3444240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4760">
      <w:rPr>
        <w:rFonts w:ascii="Source Sans Pro Black" w:hAnsi="Source Sans Pro Black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63384724" wp14:editId="15C1B8D5">
              <wp:simplePos x="0" y="0"/>
              <wp:positionH relativeFrom="page">
                <wp:posOffset>-636270</wp:posOffset>
              </wp:positionH>
              <wp:positionV relativeFrom="paragraph">
                <wp:posOffset>-347236</wp:posOffset>
              </wp:positionV>
              <wp:extent cx="11258550" cy="1356995"/>
              <wp:effectExtent l="228600" t="19050" r="247650" b="147955"/>
              <wp:wrapNone/>
              <wp:docPr id="199677217" name="Rectangle 199677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58550" cy="1356995"/>
                      </a:xfrm>
                      <a:prstGeom prst="rect">
                        <a:avLst/>
                      </a:prstGeom>
                      <a:solidFill>
                        <a:srgbClr val="0EAE9D"/>
                      </a:solidFill>
                      <a:ln>
                        <a:solidFill>
                          <a:srgbClr val="1594D3"/>
                        </a:solidFill>
                      </a:ln>
                      <a:effectLst>
                        <a:outerShdw blurRad="50800" dist="38100" dir="5400000" sx="103000" sy="103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21DB7" id="Rectangle 199677217" o:spid="_x0000_s1026" style="position:absolute;margin-left:-50.1pt;margin-top:-27.35pt;width:886.5pt;height:106.8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" fillcolor="#0eae9d" strokecolor="#1594d3">
              <v:shadow on="t" type="perspective" color="black" opacity="26214f" origin=",-.5" offset="0,3pt" matrix="67502f,,,67502f"/>
              <w10:wrap anchorx="page"/>
            </v:rect>
          </w:pict>
        </mc:Fallback>
      </mc:AlternateContent>
    </w:r>
    <w:r w:rsidR="008C21BB" w:rsidRPr="00994760">
      <w:rPr>
        <w:rFonts w:ascii="Source Sans Pro Black" w:hAnsi="Source Sans Pro Black"/>
        <w:sz w:val="40"/>
        <w:szCs w:val="40"/>
      </w:rPr>
      <w:t>British Social History</w:t>
    </w:r>
    <w:r w:rsidR="00994760" w:rsidRPr="00994760">
      <w:rPr>
        <w:rFonts w:ascii="Source Sans Pro Black" w:hAnsi="Source Sans Pro Black"/>
        <w:sz w:val="40"/>
        <w:szCs w:val="40"/>
      </w:rPr>
      <w:br/>
    </w:r>
    <w:r w:rsidR="008C21BB" w:rsidRPr="00994760">
      <w:rPr>
        <w:rFonts w:ascii="Source Sans Pro Black" w:hAnsi="Source Sans Pro Black"/>
        <w:sz w:val="40"/>
        <w:szCs w:val="40"/>
      </w:rPr>
      <w:t>c. 1920–2000</w:t>
    </w:r>
  </w:p>
  <w:p w14:paraId="783772F3" w14:textId="4834FFD1" w:rsidR="008C21BB" w:rsidRPr="008C21BB" w:rsidRDefault="008C21BB" w:rsidP="008C21BB">
    <w:pPr>
      <w:ind w:left="2160" w:firstLine="720"/>
      <w:jc w:val="right"/>
      <w:rPr>
        <w:rFonts w:ascii="Source Sans Pro" w:hAnsi="Source Sans Pro"/>
        <w:color w:val="FFFFFF" w:themeColor="background1"/>
        <w:sz w:val="44"/>
        <w:szCs w:val="44"/>
      </w:rPr>
    </w:pPr>
    <w:r>
      <w:rPr>
        <w:rFonts w:ascii="Source Sans Pro" w:hAnsi="Source Sans Pro"/>
        <w:color w:val="FFFFFF" w:themeColor="background1"/>
        <w:sz w:val="27"/>
        <w:szCs w:val="27"/>
      </w:rPr>
      <w:t>Questions and Answers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EDC1" w14:textId="481F4FCB" w:rsidR="00F8647F" w:rsidRDefault="00587312" w:rsidP="0029049F">
    <w:pPr>
      <w:jc w:val="right"/>
      <w:rPr>
        <w:rFonts w:ascii="Source Sans Pro" w:hAnsi="Source Sans Pro"/>
        <w:color w:val="FFFFFF" w:themeColor="background1"/>
        <w:sz w:val="44"/>
        <w:szCs w:val="44"/>
      </w:rPr>
    </w:pPr>
    <w:r>
      <w:rPr>
        <w:noProof/>
      </w:rPr>
      <w:drawing>
        <wp:anchor distT="0" distB="0" distL="114300" distR="114300" simplePos="0" relativeHeight="251641856" behindDoc="1" locked="0" layoutInCell="1" allowOverlap="1" wp14:anchorId="0A360EE0" wp14:editId="644A6F52">
          <wp:simplePos x="0" y="0"/>
          <wp:positionH relativeFrom="page">
            <wp:posOffset>-12700</wp:posOffset>
          </wp:positionH>
          <wp:positionV relativeFrom="paragraph">
            <wp:posOffset>-465455</wp:posOffset>
          </wp:positionV>
          <wp:extent cx="3444240" cy="1158240"/>
          <wp:effectExtent l="0" t="0" r="3810" b="0"/>
          <wp:wrapSquare wrapText="bothSides"/>
          <wp:docPr id="1441141387" name="Picture 144114138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Picture 1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45" t="38625" r="30972" b="34974"/>
                  <a:stretch/>
                </pic:blipFill>
                <pic:spPr bwMode="auto">
                  <a:xfrm>
                    <a:off x="0" y="0"/>
                    <a:ext cx="3444240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AFE54C" wp14:editId="282DEDF5">
              <wp:simplePos x="0" y="0"/>
              <wp:positionH relativeFrom="page">
                <wp:posOffset>-636563</wp:posOffset>
              </wp:positionH>
              <wp:positionV relativeFrom="paragraph">
                <wp:posOffset>-506437</wp:posOffset>
              </wp:positionV>
              <wp:extent cx="11258550" cy="1357337"/>
              <wp:effectExtent l="228600" t="19050" r="247650" b="14795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58550" cy="1357337"/>
                      </a:xfrm>
                      <a:prstGeom prst="rect">
                        <a:avLst/>
                      </a:prstGeom>
                      <a:solidFill>
                        <a:srgbClr val="0EAE9D"/>
                      </a:solidFill>
                      <a:ln>
                        <a:solidFill>
                          <a:srgbClr val="1594D3"/>
                        </a:solidFill>
                      </a:ln>
                      <a:effectLst>
                        <a:outerShdw blurRad="50800" dist="38100" dir="5400000" sx="103000" sy="103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1B2DEC" id="Rectangle 5" o:spid="_x0000_s1026" style="position:absolute;margin-left:-50.1pt;margin-top:-39.9pt;width:886.5pt;height:106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" fillcolor="#0eae9d" strokecolor="#1594d3">
              <v:shadow on="t" type="perspective" color="black" opacity="26214f" origin=",-.5" offset="0,3pt" matrix="67502f,,,67502f"/>
              <w10:wrap anchorx="page"/>
            </v:rect>
          </w:pict>
        </mc:Fallback>
      </mc:AlternateContent>
    </w:r>
    <w:r w:rsidR="008C21BB" w:rsidRPr="008C21BB">
      <w:t xml:space="preserve"> </w:t>
    </w:r>
    <w:r w:rsidR="008C21BB" w:rsidRPr="008C21BB">
      <w:rPr>
        <w:rFonts w:ascii="Source Sans Pro" w:hAnsi="Source Sans Pro"/>
        <w:color w:val="FFFFFF" w:themeColor="background1"/>
        <w:sz w:val="48"/>
        <w:szCs w:val="48"/>
      </w:rPr>
      <w:t>British Social History c. 1920–2000</w:t>
    </w:r>
  </w:p>
  <w:p w14:paraId="31649052" w14:textId="6690B9CF" w:rsidR="00F8647F" w:rsidRPr="0029049F" w:rsidRDefault="008C21BB" w:rsidP="0029049F">
    <w:pPr>
      <w:ind w:left="2160" w:firstLine="720"/>
      <w:jc w:val="right"/>
      <w:rPr>
        <w:rFonts w:ascii="Source Sans Pro" w:hAnsi="Source Sans Pro"/>
        <w:color w:val="FFFFFF" w:themeColor="background1"/>
        <w:sz w:val="44"/>
        <w:szCs w:val="44"/>
      </w:rPr>
    </w:pPr>
    <w:r>
      <w:rPr>
        <w:rFonts w:ascii="Source Sans Pro" w:hAnsi="Source Sans Pro"/>
        <w:color w:val="FFFFFF" w:themeColor="background1"/>
        <w:sz w:val="27"/>
        <w:szCs w:val="27"/>
      </w:rPr>
      <w:t>Questions and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E6D"/>
    <w:multiLevelType w:val="multilevel"/>
    <w:tmpl w:val="B234EC12"/>
    <w:lvl w:ilvl="0">
      <w:start w:val="1"/>
      <w:numFmt w:val="bullet"/>
      <w:lvlText w:val="●"/>
      <w:lvlJc w:val="left"/>
      <w:pPr>
        <w:ind w:left="720" w:hanging="360"/>
      </w:pPr>
      <w:rPr>
        <w:color w:val="0B837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7773FC"/>
    <w:multiLevelType w:val="multilevel"/>
    <w:tmpl w:val="22F6C09A"/>
    <w:lvl w:ilvl="0">
      <w:start w:val="1"/>
      <w:numFmt w:val="bullet"/>
      <w:lvlText w:val="●"/>
      <w:lvlJc w:val="left"/>
      <w:pPr>
        <w:ind w:left="720" w:hanging="360"/>
      </w:pPr>
      <w:rPr>
        <w:color w:val="0B837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EA50C7"/>
    <w:multiLevelType w:val="multilevel"/>
    <w:tmpl w:val="97E0100E"/>
    <w:lvl w:ilvl="0">
      <w:start w:val="1"/>
      <w:numFmt w:val="bullet"/>
      <w:lvlText w:val="●"/>
      <w:lvlJc w:val="left"/>
      <w:pPr>
        <w:ind w:left="720" w:hanging="360"/>
      </w:pPr>
      <w:rPr>
        <w:color w:val="0B837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856BD2"/>
    <w:multiLevelType w:val="multilevel"/>
    <w:tmpl w:val="7C203818"/>
    <w:lvl w:ilvl="0">
      <w:start w:val="1"/>
      <w:numFmt w:val="bullet"/>
      <w:pStyle w:val="Bullet1"/>
      <w:lvlText w:val="●"/>
      <w:lvlJc w:val="left"/>
      <w:pPr>
        <w:ind w:left="720" w:hanging="360"/>
      </w:pPr>
      <w:rPr>
        <w:color w:val="0B837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3022149">
    <w:abstractNumId w:val="3"/>
  </w:num>
  <w:num w:numId="2" w16cid:durableId="537620831">
    <w:abstractNumId w:val="0"/>
  </w:num>
  <w:num w:numId="3" w16cid:durableId="506211005">
    <w:abstractNumId w:val="2"/>
  </w:num>
  <w:num w:numId="4" w16cid:durableId="58283510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erine Taylor">
    <w15:presenceInfo w15:providerId="Windows Live" w15:userId="f0c24f62d52bd3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60"/>
    <w:rsid w:val="00040725"/>
    <w:rsid w:val="000F4616"/>
    <w:rsid w:val="0014130F"/>
    <w:rsid w:val="00162378"/>
    <w:rsid w:val="00207A52"/>
    <w:rsid w:val="00265013"/>
    <w:rsid w:val="0029049F"/>
    <w:rsid w:val="002C40FA"/>
    <w:rsid w:val="002D4427"/>
    <w:rsid w:val="002F6298"/>
    <w:rsid w:val="002F6D41"/>
    <w:rsid w:val="003159C4"/>
    <w:rsid w:val="003E3971"/>
    <w:rsid w:val="003F2371"/>
    <w:rsid w:val="00401864"/>
    <w:rsid w:val="00457FE4"/>
    <w:rsid w:val="0049018F"/>
    <w:rsid w:val="004A46A0"/>
    <w:rsid w:val="004F5938"/>
    <w:rsid w:val="00584EC9"/>
    <w:rsid w:val="00587312"/>
    <w:rsid w:val="006873C1"/>
    <w:rsid w:val="00687FDD"/>
    <w:rsid w:val="00691ADB"/>
    <w:rsid w:val="006A3F1C"/>
    <w:rsid w:val="006B2961"/>
    <w:rsid w:val="006C376F"/>
    <w:rsid w:val="006D5D4A"/>
    <w:rsid w:val="007717F3"/>
    <w:rsid w:val="00780F70"/>
    <w:rsid w:val="007872C8"/>
    <w:rsid w:val="00884726"/>
    <w:rsid w:val="008C21BB"/>
    <w:rsid w:val="008E4760"/>
    <w:rsid w:val="00994760"/>
    <w:rsid w:val="009B3A45"/>
    <w:rsid w:val="009E576D"/>
    <w:rsid w:val="00A703A6"/>
    <w:rsid w:val="00AC1BE2"/>
    <w:rsid w:val="00B06B86"/>
    <w:rsid w:val="00B51B36"/>
    <w:rsid w:val="00BA2AEF"/>
    <w:rsid w:val="00C36DFA"/>
    <w:rsid w:val="00C55CA3"/>
    <w:rsid w:val="00C90E7E"/>
    <w:rsid w:val="00CA1B08"/>
    <w:rsid w:val="00CA3E9B"/>
    <w:rsid w:val="00CD008E"/>
    <w:rsid w:val="00D115AD"/>
    <w:rsid w:val="00D505E3"/>
    <w:rsid w:val="00D9502E"/>
    <w:rsid w:val="00DC40EE"/>
    <w:rsid w:val="00DD27CA"/>
    <w:rsid w:val="00DD4DB6"/>
    <w:rsid w:val="00DE0EBE"/>
    <w:rsid w:val="00DE4066"/>
    <w:rsid w:val="00DF095D"/>
    <w:rsid w:val="00E02C59"/>
    <w:rsid w:val="00EB50B8"/>
    <w:rsid w:val="00EC1F0B"/>
    <w:rsid w:val="00F8647F"/>
    <w:rsid w:val="00F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2736"/>
  <w15:docId w15:val="{680A890D-28C3-40A2-9E09-B87A06D2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64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47F"/>
  </w:style>
  <w:style w:type="paragraph" w:styleId="Footer">
    <w:name w:val="footer"/>
    <w:basedOn w:val="Normal"/>
    <w:link w:val="FooterChar"/>
    <w:uiPriority w:val="99"/>
    <w:unhideWhenUsed/>
    <w:rsid w:val="00F864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47F"/>
  </w:style>
  <w:style w:type="paragraph" w:styleId="Revision">
    <w:name w:val="Revision"/>
    <w:hidden/>
    <w:uiPriority w:val="99"/>
    <w:semiHidden/>
    <w:rsid w:val="00691AD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0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8E"/>
    <w:rPr>
      <w:b/>
      <w:bCs/>
      <w:sz w:val="20"/>
      <w:szCs w:val="20"/>
    </w:rPr>
  </w:style>
  <w:style w:type="paragraph" w:customStyle="1" w:styleId="Bullet1">
    <w:name w:val="Bullet1"/>
    <w:basedOn w:val="Normal"/>
    <w:link w:val="Bullet1Char"/>
    <w:qFormat/>
    <w:rsid w:val="00D505E3"/>
    <w:pPr>
      <w:numPr>
        <w:numId w:val="1"/>
      </w:numPr>
      <w:spacing w:before="80" w:line="264" w:lineRule="auto"/>
      <w:ind w:left="488" w:hanging="284"/>
    </w:pPr>
    <w:rPr>
      <w:rFonts w:ascii="Source Sans Pro" w:eastAsia="Lexend Deca" w:hAnsi="Source Sans Pro" w:cstheme="majorHAnsi"/>
    </w:rPr>
  </w:style>
  <w:style w:type="paragraph" w:customStyle="1" w:styleId="Body">
    <w:name w:val="Body"/>
    <w:basedOn w:val="Normal"/>
    <w:link w:val="BodyChar"/>
    <w:qFormat/>
    <w:rsid w:val="008C21BB"/>
    <w:pPr>
      <w:spacing w:before="240" w:after="240"/>
    </w:pPr>
    <w:rPr>
      <w:rFonts w:ascii="Source Sans Pro" w:eastAsia="Lexend Deca" w:hAnsi="Source Sans Pro" w:cstheme="majorHAnsi"/>
      <w:noProof/>
    </w:rPr>
  </w:style>
  <w:style w:type="character" w:customStyle="1" w:styleId="Bullet1Char">
    <w:name w:val="Bullet1 Char"/>
    <w:basedOn w:val="DefaultParagraphFont"/>
    <w:link w:val="Bullet1"/>
    <w:rsid w:val="00D505E3"/>
    <w:rPr>
      <w:rFonts w:ascii="Source Sans Pro" w:eastAsia="Lexend Deca" w:hAnsi="Source Sans Pro" w:cstheme="majorHAnsi"/>
    </w:rPr>
  </w:style>
  <w:style w:type="paragraph" w:customStyle="1" w:styleId="TableHeade">
    <w:name w:val="Table Heade"/>
    <w:basedOn w:val="Normal"/>
    <w:link w:val="TableHeadeChar"/>
    <w:qFormat/>
    <w:rsid w:val="00E02C59"/>
    <w:pPr>
      <w:widowControl w:val="0"/>
      <w:spacing w:line="240" w:lineRule="auto"/>
    </w:pPr>
    <w:rPr>
      <w:rFonts w:ascii="Source Sans Pro SemiBold" w:eastAsia="Lexend Deca" w:hAnsi="Source Sans Pro SemiBold" w:cstheme="majorHAnsi"/>
      <w:bCs/>
      <w:color w:val="FFFFFF"/>
      <w:sz w:val="32"/>
      <w:szCs w:val="32"/>
    </w:rPr>
  </w:style>
  <w:style w:type="character" w:customStyle="1" w:styleId="BodyChar">
    <w:name w:val="Body Char"/>
    <w:basedOn w:val="DefaultParagraphFont"/>
    <w:link w:val="Body"/>
    <w:rsid w:val="008C21BB"/>
    <w:rPr>
      <w:rFonts w:ascii="Source Sans Pro" w:eastAsia="Lexend Deca" w:hAnsi="Source Sans Pro" w:cstheme="majorHAnsi"/>
      <w:noProof/>
    </w:rPr>
  </w:style>
  <w:style w:type="paragraph" w:customStyle="1" w:styleId="TableEmphasis">
    <w:name w:val="Table Emphasis"/>
    <w:basedOn w:val="Normal"/>
    <w:link w:val="TableEmphasisChar"/>
    <w:qFormat/>
    <w:rsid w:val="00A703A6"/>
    <w:rPr>
      <w:rFonts w:ascii="Source Sans Pro Black" w:eastAsia="Lexend Deca" w:hAnsi="Source Sans Pro Black" w:cstheme="majorHAnsi"/>
      <w:bCs/>
    </w:rPr>
  </w:style>
  <w:style w:type="character" w:customStyle="1" w:styleId="TableHeadeChar">
    <w:name w:val="Table Heade Char"/>
    <w:basedOn w:val="DefaultParagraphFont"/>
    <w:link w:val="TableHeade"/>
    <w:rsid w:val="00E02C59"/>
    <w:rPr>
      <w:rFonts w:ascii="Source Sans Pro SemiBold" w:eastAsia="Lexend Deca" w:hAnsi="Source Sans Pro SemiBold" w:cstheme="majorHAnsi"/>
      <w:bCs/>
      <w:color w:val="FFFFFF"/>
      <w:sz w:val="32"/>
      <w:szCs w:val="32"/>
    </w:rPr>
  </w:style>
  <w:style w:type="paragraph" w:customStyle="1" w:styleId="TableSubhead">
    <w:name w:val="Table Subhead"/>
    <w:basedOn w:val="TableHeade"/>
    <w:link w:val="TableSubheadChar"/>
    <w:qFormat/>
    <w:rsid w:val="00E02C59"/>
    <w:rPr>
      <w:rFonts w:ascii="Source Sans Pro" w:hAnsi="Source Sans Pro"/>
      <w:sz w:val="28"/>
      <w:szCs w:val="28"/>
    </w:rPr>
  </w:style>
  <w:style w:type="character" w:customStyle="1" w:styleId="TableEmphasisChar">
    <w:name w:val="Table Emphasis Char"/>
    <w:basedOn w:val="DefaultParagraphFont"/>
    <w:link w:val="TableEmphasis"/>
    <w:rsid w:val="00A703A6"/>
    <w:rPr>
      <w:rFonts w:ascii="Source Sans Pro Black" w:eastAsia="Lexend Deca" w:hAnsi="Source Sans Pro Black" w:cstheme="majorHAnsi"/>
      <w:bCs/>
    </w:rPr>
  </w:style>
  <w:style w:type="character" w:customStyle="1" w:styleId="TableSubheadChar">
    <w:name w:val="Table Subhead Char"/>
    <w:basedOn w:val="TableHeadeChar"/>
    <w:link w:val="TableSubhead"/>
    <w:rsid w:val="00E02C59"/>
    <w:rPr>
      <w:rFonts w:ascii="Source Sans Pro" w:eastAsia="Lexend Deca" w:hAnsi="Source Sans Pro" w:cstheme="majorHAnsi"/>
      <w:bCs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0B55-CDA6-48ED-948F-02F29801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Fitzgerald</dc:creator>
  <cp:lastModifiedBy>Charlotte Askew</cp:lastModifiedBy>
  <cp:revision>2</cp:revision>
  <cp:lastPrinted>2023-03-07T12:23:00Z</cp:lastPrinted>
  <dcterms:created xsi:type="dcterms:W3CDTF">2023-05-26T12:48:00Z</dcterms:created>
  <dcterms:modified xsi:type="dcterms:W3CDTF">2023-05-26T12:48:00Z</dcterms:modified>
</cp:coreProperties>
</file>